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02400">
      <w:pPr>
        <w:pStyle w:val="30"/>
        <w:spacing w:before="1600"/>
        <w:jc w:val="center"/>
      </w:pPr>
      <w:bookmarkStart w:id="10" w:name="_GoBack"/>
      <w:bookmarkEnd w:id="10"/>
      <w:r>
        <w:rPr>
          <w:rFonts w:ascii="Times New Roman" w:hAnsi="Times New Roman" w:eastAsia="华文楷体"/>
          <w:b/>
          <w:sz w:val="48"/>
        </w:rPr>
        <w:t>DSM系列储罐在线自动计量仪</w:t>
      </w:r>
    </w:p>
    <w:p w14:paraId="6A4E8BB4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6EC1B9C0">
      <w:pPr>
        <w:spacing w:before="520"/>
        <w:jc w:val="center"/>
      </w:pPr>
      <w:r>
        <w:rPr>
          <w:rFonts w:ascii="Times New Roman" w:hAnsi="Times New Roman" w:eastAsia="华文楷体"/>
          <w:b/>
          <w:sz w:val="36"/>
        </w:rPr>
        <w:t>第2分册 - 测量、运动与传感器</w:t>
      </w:r>
    </w:p>
    <w:p w14:paraId="6DD5644A">
      <w:pPr>
        <w:spacing w:before="360"/>
        <w:jc w:val="center"/>
      </w:pPr>
      <w:r>
        <w:rPr>
          <w:rFonts w:ascii="Times New Roman" w:hAnsi="Times New Roman" w:eastAsia="华文楷体"/>
          <w:b w:val="0"/>
          <w:sz w:val="28"/>
        </w:rPr>
        <w:t>V0.1  编制稿</w:t>
      </w:r>
    </w:p>
    <w:p w14:paraId="0B652AB6">
      <w:pPr>
        <w:spacing w:before="2500"/>
        <w:jc w:val="center"/>
      </w:pPr>
      <w:r>
        <w:rPr>
          <w:rFonts w:ascii="Times New Roman" w:hAnsi="Times New Roman" w:eastAsia="华文楷体"/>
          <w:b/>
          <w:sz w:val="28"/>
        </w:rPr>
        <w:t>青岛澳邦量器有限责任公司</w:t>
      </w:r>
    </w:p>
    <w:p w14:paraId="0DB219F7">
      <w:pPr>
        <w:spacing w:before="200"/>
        <w:jc w:val="center"/>
      </w:pPr>
      <w:r>
        <w:rPr>
          <w:rFonts w:ascii="Times New Roman" w:hAnsi="Times New Roman" w:eastAsia="华文楷体"/>
          <w:b w:val="0"/>
          <w:sz w:val="22"/>
        </w:rPr>
        <w:t>2026-07-31</w:t>
      </w:r>
    </w:p>
    <w:p w14:paraId="13E641CD">
      <w:pPr>
        <w:sectPr>
          <w:footerReference r:id="rId7" w:type="first"/>
          <w:headerReference r:id="rId5" w:type="default"/>
          <w:footerReference r:id="rId6" w:type="default"/>
          <w:pgSz w:w="11906" w:h="16838"/>
          <w:pgMar w:top="1440" w:right="1797" w:bottom="1440" w:left="1797" w:header="454" w:footer="454" w:gutter="0"/>
          <w:pgNumType w:fmt="decimal" w:start="1"/>
          <w:cols w:space="720" w:num="1"/>
          <w:docGrid w:type="linesAndChars" w:linePitch="312" w:charSpace="0"/>
        </w:sectPr>
      </w:pPr>
    </w:p>
    <w:p w14:paraId="33701EFA">
      <w:pPr>
        <w:pStyle w:val="2"/>
      </w:pPr>
      <w:bookmarkStart w:id="0" w:name="_Toc10751"/>
      <w:r>
        <w:t>文档信息</w:t>
      </w:r>
      <w:bookmarkEnd w:id="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458"/>
        <w:gridCol w:w="2223"/>
        <w:gridCol w:w="3775"/>
      </w:tblGrid>
      <w:tr w14:paraId="603BC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588C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A0F5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112E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76C9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</w:tr>
      <w:tr w14:paraId="5966A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B32C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文档编号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D72E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FX01-SDD-CPU2-02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B5AE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B640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</w:tr>
      <w:tr w14:paraId="4279C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1650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文档名称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CCAF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CPU2软件详细设计第2分册：测量、运动与传感器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E2A5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文件状态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7C19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编制稿</w:t>
            </w:r>
          </w:p>
        </w:tc>
      </w:tr>
      <w:tr w14:paraId="2B70A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FC92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起始版本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C519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31E7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 配套版本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ED16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V1.36.0.0</w:t>
            </w:r>
          </w:p>
        </w:tc>
      </w:tr>
      <w:tr w14:paraId="0EBF9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B3F1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共享协议版本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2D7E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DCE1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参数存储版本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ED87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</w:t>
            </w:r>
          </w:p>
        </w:tc>
      </w:tr>
      <w:tr w14:paraId="55480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90F1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起始分支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E6D8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MAIN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FB52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 HEAD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7983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66d5c062bf672e1d2e49ff78f1c770c6e33f98dd</w:t>
            </w:r>
          </w:p>
        </w:tc>
      </w:tr>
      <w:tr w14:paraId="6D534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7D6D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编制日期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D60A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B526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编制单位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782A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青岛澳邦量器有限责任公司</w:t>
            </w:r>
          </w:p>
        </w:tc>
      </w:tr>
    </w:tbl>
    <w:p w14:paraId="69310D0E"/>
    <w:p w14:paraId="648EE3F4">
      <w:pPr>
        <w:pStyle w:val="2"/>
      </w:pPr>
      <w:bookmarkStart w:id="1" w:name="_Toc26864"/>
      <w:r>
        <w:t>版本记录</w:t>
      </w:r>
      <w:bookmarkEnd w:id="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14AB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6481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版本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6C97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日期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750F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修订内容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01CD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45CD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F277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批准</w:t>
            </w:r>
          </w:p>
        </w:tc>
      </w:tr>
      <w:tr w14:paraId="7C56E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CDD2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7696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5AD4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建立测量、运动、编码器和传感器分册骨架及源码范围。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BAC7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Codex 协助编制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D696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8852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待批准</w:t>
            </w:r>
          </w:p>
        </w:tc>
      </w:tr>
    </w:tbl>
    <w:p w14:paraId="156E7E88"/>
    <w:p w14:paraId="4FA8107C">
      <w:pPr>
        <w:pStyle w:val="2"/>
      </w:pPr>
      <w:bookmarkStart w:id="2" w:name="_Toc4948"/>
      <w:r>
        <w:t>编制状态说明</w:t>
      </w:r>
      <w:bookmarkEnd w:id="2"/>
    </w:p>
    <w:p w14:paraId="4DC406E4">
      <w:pPr>
        <w:keepLines/>
      </w:pPr>
      <w:r>
        <w:rPr>
          <w:rFonts w:ascii="Times New Roman" w:hAnsi="Times New Roman" w:eastAsia="华文楷体"/>
          <w:sz w:val="21"/>
        </w:rPr>
        <w:t>本册为 V0.1 编制稿，内容按当前工作区源码进行首轮静态盘点。起始工作区存在尚未提交的 CPU2 源码修改，因此本册不能作为最终发布基线。“源码已核对”只说明已找到对应代码证据，不等于构建、台架、现场、故障注入或 SIL 认证验证已经完成。</w:t>
      </w:r>
    </w:p>
    <w:p w14:paraId="19BABCE3">
      <w:pPr>
        <w:pStyle w:val="2"/>
      </w:pPr>
      <w:bookmarkStart w:id="3" w:name="_Toc14641"/>
      <w:r>
        <w:t>目录</w:t>
      </w:r>
      <w:bookmarkEnd w:id="3"/>
    </w:p>
    <w:p w14:paraId="6255C50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_Toc10751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文档信息</w:t>
      </w:r>
      <w:r>
        <w:tab/>
      </w:r>
      <w:r>
        <w:fldChar w:fldCharType="begin"/>
      </w:r>
      <w:r>
        <w:instrText xml:space="preserve"> PAGEREF _Toc10751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3E463B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_Toc26864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版本记录</w:t>
      </w:r>
      <w:r>
        <w:tab/>
      </w:r>
      <w:r>
        <w:fldChar w:fldCharType="begin"/>
      </w:r>
      <w:r>
        <w:instrText xml:space="preserve"> PAGEREF _Toc26864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670CA2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_Toc4948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编制状态说明</w:t>
      </w:r>
      <w:r>
        <w:tab/>
      </w:r>
      <w:r>
        <w:fldChar w:fldCharType="begin"/>
      </w:r>
      <w:r>
        <w:instrText xml:space="preserve"> PAGEREF _Toc4948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3D3D88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_Toc14641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目录</w:t>
      </w:r>
      <w:r>
        <w:tab/>
      </w:r>
      <w:r>
        <w:fldChar w:fldCharType="begin"/>
      </w:r>
      <w:r>
        <w:instrText xml:space="preserve"> PAGEREF _Toc14641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A7C705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_Toc2154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概述</w:t>
      </w:r>
      <w:r>
        <w:tab/>
      </w:r>
      <w:r>
        <w:fldChar w:fldCharType="begin"/>
      </w:r>
      <w:r>
        <w:instrText xml:space="preserve"> PAGEREF _Toc2154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58DECF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_Toc2180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当前源码范围</w:t>
      </w:r>
      <w:r>
        <w:tab/>
      </w:r>
      <w:r>
        <w:fldChar w:fldCharType="begin"/>
      </w:r>
      <w:r>
        <w:instrText xml:space="preserve"> PAGEREF _Toc2180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25D65BB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_Toc28247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正式命令入口</w:t>
      </w:r>
      <w:r>
        <w:tab/>
      </w:r>
      <w:r>
        <w:fldChar w:fldCharType="begin"/>
      </w:r>
      <w:r>
        <w:instrText xml:space="preserve"> PAGEREF _Toc28247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424F38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_Toc15404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后续编制顺序</w:t>
      </w:r>
      <w:r>
        <w:tab/>
      </w:r>
      <w:r>
        <w:fldChar w:fldCharType="begin"/>
      </w:r>
      <w:r>
        <w:instrText xml:space="preserve"> PAGEREF _Toc15404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6A4334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_Toc32692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当前编制门禁</w:t>
      </w:r>
      <w:r>
        <w:tab/>
      </w:r>
      <w:r>
        <w:fldChar w:fldCharType="begin"/>
      </w:r>
      <w:r>
        <w:instrText xml:space="preserve"> PAGEREF _Toc32692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16E327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_Toc27961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未验证风险</w:t>
      </w:r>
      <w:r>
        <w:tab/>
      </w:r>
      <w:r>
        <w:fldChar w:fldCharType="begin"/>
      </w:r>
      <w:r>
        <w:instrText xml:space="preserve"> PAGEREF _Toc27961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9614A93">
      <w:r>
        <w:fldChar w:fldCharType="end"/>
      </w:r>
    </w:p>
    <w:p w14:paraId="19FAAA2F">
      <w:r>
        <w:br w:type="page"/>
      </w:r>
    </w:p>
    <w:p w14:paraId="74084AC3">
      <w:pPr>
        <w:pStyle w:val="2"/>
      </w:pPr>
      <w:bookmarkStart w:id="4" w:name="_Toc2154"/>
      <w:r>
        <w:t>概述</w:t>
      </w:r>
      <w:bookmarkEnd w:id="4"/>
    </w:p>
    <w:p w14:paraId="79F36022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本分册用于描述正式测量命令、同步测量流程、电机控制、位置模型、编码器、传感器通信和扭力诊断。V0.1 先冻结模块边界和编制顺序，具体算法、阈值和状态机将在后续周期逐文件核对。</w:t>
      </w:r>
    </w:p>
    <w:p w14:paraId="692C15F5">
      <w:pPr>
        <w:pStyle w:val="2"/>
      </w:pPr>
      <w:bookmarkStart w:id="5" w:name="_Toc2180"/>
      <w:r>
        <w:t>当前源码范围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62065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F88D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设计域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BC79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主要源码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28AE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V0.1 状态</w:t>
            </w:r>
          </w:p>
        </w:tc>
      </w:tr>
      <w:tr w14:paraId="29342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B81C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测量总调度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6667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Application/Src/measure.c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94C8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入口和分派已初核</w:t>
            </w:r>
          </w:p>
        </w:tc>
      </w:tr>
      <w:tr w14:paraId="6F566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9515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油位/水位/罐高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5E56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measure_oilLevel.c、measure_waterLevel.c、measure_tank_height.c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2865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待逐流程编制</w:t>
            </w:r>
          </w:p>
        </w:tc>
      </w:tr>
      <w:tr w14:paraId="00355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BCDB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密度/零点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1C5C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measure_density.c、measure_zero.c、wartsila_density_measurement.c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9DA8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待逐流程编制</w:t>
            </w:r>
          </w:p>
        </w:tc>
      </w:tr>
      <w:tr w14:paraId="3DF74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4262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固定频率搜索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9A51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fixed_frequency_level_search.c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7F88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待编制</w:t>
            </w:r>
          </w:p>
        </w:tc>
      </w:tr>
      <w:tr w14:paraId="42F58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66DB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电机控制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35B7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Services/MotorControl/*.c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87DF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初始化和安全停机已初核</w:t>
            </w:r>
          </w:p>
        </w:tc>
      </w:tr>
      <w:tr w14:paraId="4E88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5361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编码器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D507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Services/Encoder/encoder.c、BSP/Peripherals/src/AS5145.c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2C52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延后事件链已初核</w:t>
            </w:r>
          </w:p>
        </w:tc>
      </w:tr>
      <w:tr w14:paraId="71E48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BE2A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传感器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C76E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Services/Sensor/*.c、SafeProtocol/*.c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8B5D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探测入口已初核</w:t>
            </w:r>
          </w:p>
        </w:tc>
      </w:tr>
      <w:tr w14:paraId="1BD59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B0E4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扭力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5D8A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Services/Weight/weight.c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EF67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接口和超时待编制</w:t>
            </w:r>
          </w:p>
        </w:tc>
      </w:tr>
    </w:tbl>
    <w:p w14:paraId="1C792E15"/>
    <w:p w14:paraId="1972DF22">
      <w:pPr>
        <w:pStyle w:val="2"/>
      </w:pPr>
      <w:bookmarkStart w:id="6" w:name="_Toc28247"/>
      <w:r>
        <w:t>正式命令入口</w:t>
      </w:r>
      <w:bookmarkEnd w:id="6"/>
    </w:p>
    <w:p w14:paraId="67A64E1C">
      <w:pPr>
        <w:jc w:val="both"/>
      </w:pPr>
      <w:r>
        <w:rPr>
          <w:rFonts w:ascii="Times New Roman" w:hAnsi="Times New Roman" w:eastAsia="华文楷体"/>
          <w:b w:val="0"/>
          <w:sz w:val="21"/>
        </w:rPr>
        <w:t>ProcessMeasureCmd() 是正式 CommandType 的统一分派入口。新流程开始前由 Encoder_BeginNewProcess() 和 PowerMonitor_BeginNewProcess() 执行位置及电源门禁；电源门禁失败时通过统一故障出口停止后续分派。证据：Application/Src/measure.c:243-303。</w:t>
      </w:r>
    </w:p>
    <w:p w14:paraId="680738B8">
      <w:pPr>
        <w:pStyle w:val="2"/>
      </w:pPr>
      <w:bookmarkStart w:id="7" w:name="_Toc15404"/>
      <w:r>
        <w:t>后续编制顺序</w:t>
      </w:r>
      <w:bookmarkEnd w:id="7"/>
    </w:p>
    <w:p w14:paraId="0E4BB47D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测量总调度、MeasureStart 和命令切换公共机制。</w:t>
      </w:r>
    </w:p>
    <w:p w14:paraId="290BEBED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油位、水位、罐高、零点和密度状态机。</w:t>
      </w:r>
    </w:p>
    <w:p w14:paraId="73D482BA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电机驱动参数、运动 API、位置模型、胶带拟合和失步检测。</w:t>
      </w:r>
    </w:p>
    <w:p w14:paraId="6E5A9CC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编码器 SSI、位置累计、异常确认和持久化关系。</w:t>
      </w:r>
    </w:p>
    <w:p w14:paraId="2B6E7B63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传感器类型探测、DSM/LTD协议、安全协议和无线模块。</w:t>
      </w:r>
    </w:p>
    <w:p w14:paraId="09A004D6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扭力、频率和辅助诊断。</w:t>
      </w:r>
    </w:p>
    <w:p w14:paraId="14916D48">
      <w:pPr>
        <w:pStyle w:val="2"/>
      </w:pPr>
      <w:bookmarkStart w:id="8" w:name="_Toc32692"/>
      <w:r>
        <w:t>当前编制门禁</w:t>
      </w:r>
      <w:bookmarkEnd w:id="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73173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7EFC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门禁项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80A6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要求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1F78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状态</w:t>
            </w:r>
          </w:p>
        </w:tc>
      </w:tr>
      <w:tr w14:paraId="60131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C617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工作区漂移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EED3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measure_oilLevel.c 正式撰写前重新记录 diff 和哈希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696D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待执行</w:t>
            </w:r>
          </w:p>
        </w:tc>
      </w:tr>
      <w:tr w14:paraId="68FF6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1E85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同步阻塞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59AE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逐流程列出循环、总超时、命令切换和提前退出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7B4E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待执行</w:t>
            </w:r>
          </w:p>
        </w:tc>
      </w:tr>
      <w:tr w14:paraId="40A55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047E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机械和传感器事实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1C3E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未有台架或供应商资料时标记待验证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CB2E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持续执行</w:t>
            </w:r>
          </w:p>
        </w:tc>
      </w:tr>
      <w:tr w14:paraId="5FA8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DBF2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安全协议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5D17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区分 CPU2 客户端、传感器端和整链路证据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20F2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持续执行</w:t>
            </w:r>
          </w:p>
        </w:tc>
      </w:tr>
    </w:tbl>
    <w:p w14:paraId="6191A992"/>
    <w:p w14:paraId="0D55A111">
      <w:pPr>
        <w:pStyle w:val="2"/>
      </w:pPr>
      <w:bookmarkStart w:id="9" w:name="_Toc27961"/>
      <w:r>
        <w:t>未验证风险</w:t>
      </w:r>
      <w:bookmarkEnd w:id="9"/>
    </w:p>
    <w:p w14:paraId="0E2ED125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本轮未验证电机、编码器、传感器、扭力和机械运动。</w:t>
      </w:r>
    </w:p>
    <w:p w14:paraId="00447ED9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阻塞测量流程的最长时间及命令切换覆盖尚未完成全量审计。</w:t>
      </w:r>
    </w:p>
    <w:p w14:paraId="00E94950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失步、扭力、频率和界面检测阈值需要对应台架证据。</w:t>
      </w:r>
    </w:p>
    <w:p w14:paraId="6A825666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传感器安全协议的软件实现不能替代整链路 SIL 证据。</w:t>
      </w:r>
    </w:p>
    <w:sectPr>
      <w:headerReference r:id="rId8" w:type="defaul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67944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0C4D66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23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0C4D66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val="en-US"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val="en-US" w:eastAsia="zh-CN"/>
                      </w:rPr>
                      <w:t>23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03A97">
    <w:pPr>
      <w:jc w:val="center"/>
    </w:pPr>
    <w:r>
      <w:rPr>
        <w:rFonts w:ascii="Times New Roman" w:hAnsi="Times New Roman" w:eastAsia="华文楷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页，共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B4B3A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EFC15">
    <w:pPr>
      <w:jc w:val="center"/>
    </w:pPr>
    <w:r>
      <w:rPr>
        <w:rFonts w:ascii="Times New Roman" w:hAnsi="Times New Roman" w:eastAsia="华文楷体"/>
        <w:b w:val="0"/>
        <w:sz w:val="18"/>
      </w:rPr>
      <w:t>DSM系列储罐在线自动计量仪CPU2软件详细设计  第2分册 - 测量、运动与传感器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C005C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3B26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/>
      <w:widowControl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 w:eastAsia="黑体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widowControl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 w:eastAsia="黑体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widowControl/>
      <w:numPr>
        <w:ilvl w:val="2"/>
        <w:numId w:val="1"/>
      </w:numPr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widowControl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 w:eastAsia="黑体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rFonts w:ascii="Times New Roman" w:hAnsi="Times New Roman" w:eastAsia="黑体"/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V0.1编制稿。源码静态证据不等于硬件、台架、现场或SIL认证验证。</dc:description>
  <cp:lastModifiedBy>admin</cp:lastModifiedBy>
  <cp:lastPrinted>2022-01-14T19:23:00Z</cp:lastPrinted>
  <dcterms:modified xsi:type="dcterms:W3CDTF">2026-07-31T03:48:29Z</dcterms:modified>
  <dc:subject>CPU2软件详细设计分卷编制稿</dc:subject>
  <dc:title>CPU2软件详细设计第2分册：测量、运动与传感器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126687EA12374C0AB55B6F3027446842</vt:lpwstr>
  </property>
</Properties>
</file>