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5D11D">
      <w:pPr>
        <w:pStyle w:val="30"/>
        <w:spacing w:before="1300"/>
        <w:jc w:val="center"/>
      </w:pPr>
      <w:bookmarkStart w:id="15" w:name="_GoBack"/>
      <w:bookmarkEnd w:id="15"/>
      <w:r>
        <w:rPr>
          <w:rFonts w:ascii="Times New Roman" w:hAnsi="Times New Roman" w:eastAsia="华文楷体"/>
          <w:b/>
          <w:sz w:val="48"/>
        </w:rPr>
        <w:t>DSM 系列储罐在线自动计量仪</w:t>
      </w:r>
    </w:p>
    <w:p w14:paraId="390115C7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1D80D5AA">
      <w:pPr>
        <w:spacing w:before="360"/>
        <w:jc w:val="center"/>
      </w:pPr>
      <w:r>
        <w:rPr>
          <w:rFonts w:ascii="Times New Roman" w:hAnsi="Times New Roman" w:eastAsia="华文楷体"/>
          <w:b/>
          <w:sz w:val="34"/>
        </w:rPr>
        <w:t>中期验收说明 - 冻结快照</w:t>
      </w:r>
    </w:p>
    <w:p w14:paraId="6F114F4B">
      <w:pPr>
        <w:spacing w:before="200"/>
        <w:jc w:val="center"/>
      </w:pPr>
      <w:r>
        <w:rPr>
          <w:rFonts w:ascii="Times New Roman" w:hAnsi="Times New Roman" w:eastAsia="华文楷体"/>
          <w:b w:val="0"/>
          <w:sz w:val="26"/>
        </w:rPr>
        <w:t>V0.1  编制稿</w:t>
      </w:r>
    </w:p>
    <w:p w14:paraId="55E1AF27">
      <w:pPr>
        <w:spacing w:before="1400"/>
        <w:jc w:val="center"/>
      </w:pPr>
      <w:r>
        <w:rPr>
          <w:rFonts w:ascii="Times New Roman" w:hAnsi="Times New Roman" w:eastAsia="华文楷体"/>
          <w:b w:val="0"/>
          <w:sz w:val="21"/>
        </w:rPr>
        <w:t>青岛澳邦量器有限责任公司</w:t>
      </w:r>
    </w:p>
    <w:p w14:paraId="6D4A6F87">
      <w:pPr>
        <w:spacing w:before="2920" w:after="0"/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192D7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2EFE1E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文档信息</w:t>
            </w:r>
          </w:p>
        </w:tc>
      </w:tr>
      <w:tr w14:paraId="5A815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12AE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70EE19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CPU2软件详细设计中期验收说明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194E3B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053E9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2026-08-03</w:t>
            </w:r>
          </w:p>
        </w:tc>
      </w:tr>
      <w:tr w14:paraId="40358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5E4C0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3942EF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86E6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AB4C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待批准</w:t>
            </w:r>
          </w:p>
        </w:tc>
      </w:tr>
      <w:tr w14:paraId="4E04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260A9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1FE47C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FX01-SDD-CPU2-M1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2B912E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783A7E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V0.1</w:t>
            </w:r>
          </w:p>
        </w:tc>
      </w:tr>
    </w:tbl>
    <w:p w14:paraId="2A3AC709">
      <w:pPr>
        <w:sectPr>
          <w:headerReference r:id="rId3" w:type="first"/>
          <w:footerReference r:id="rId4" w:type="default"/>
          <w:pgSz w:w="11906" w:h="16838"/>
          <w:pgMar w:top="1440" w:right="1797" w:bottom="1440" w:left="1797" w:header="454" w:footer="992" w:gutter="0"/>
          <w:cols w:space="425" w:num="1"/>
          <w:titlePg/>
          <w:docGrid w:type="line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2F8D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5C4413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版本记录</w:t>
            </w:r>
          </w:p>
        </w:tc>
      </w:tr>
      <w:tr w14:paraId="269BD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0C6E6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50C97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59193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5A83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3E19E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</w:tr>
      <w:tr w14:paraId="496EB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CEC2A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F3308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冻结1个总册和8个现行专业分册，建立中期验收范围、文件身份、版式差异、17个OLE灰框整改、全页检查顺序、证据边界和验收记录。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309E7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协助整理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80D2F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待中期验收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593D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2026-08-03</w:t>
            </w:r>
          </w:p>
        </w:tc>
      </w:tr>
      <w:tr w14:paraId="4C9E5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14ECC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5FE3C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681C8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67DBC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267C3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27712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49BA9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24956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8187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3F5BD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DE2A7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1838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24A1D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B9195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6503F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BA8E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DD8AF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53D1B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FD275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96C4A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34AFC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9FCD0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4A2F4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3F8CF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85144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57BD2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5ED6F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42C81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FDC50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143C3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5BB1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9B9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77796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634C9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D063F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23D3A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76AF9D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29753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08E2B4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4336B2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0B69B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</w:tbl>
    <w:p w14:paraId="174D1DAD">
      <w:r>
        <w:br w:type="page"/>
      </w:r>
    </w:p>
    <w:p w14:paraId="29517987">
      <w:pPr>
        <w:spacing w:line="240" w:lineRule="auto"/>
        <w:jc w:val="center"/>
      </w:pPr>
      <w:r>
        <w:rPr>
          <w:rFonts w:ascii="楷体" w:hAnsi="楷体" w:eastAsia="楷体"/>
          <w:b/>
          <w:sz w:val="36"/>
        </w:rPr>
        <w:t>目录</w:t>
      </w:r>
    </w:p>
    <w:p w14:paraId="306D91C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\u</w:instrText>
      </w:r>
      <w:r>
        <w:fldChar w:fldCharType="separate"/>
      </w:r>
      <w:r>
        <w:fldChar w:fldCharType="begin"/>
      </w:r>
      <w:r>
        <w:instrText xml:space="preserve"> HYPERLINK \l _Toc27144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中期验收说明</w:t>
      </w:r>
      <w:r>
        <w:tab/>
      </w:r>
      <w:r>
        <w:fldChar w:fldCharType="begin"/>
      </w:r>
      <w:r>
        <w:instrText xml:space="preserve"> PAGEREF _Toc27144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9B88C6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_Toc6235 </w:instrText>
      </w:r>
      <w:r>
        <w:fldChar w:fldCharType="separate"/>
      </w:r>
      <w:r>
        <w:rPr>
          <w:rFonts w:hint="eastAsia"/>
        </w:rPr>
        <w:t xml:space="preserve">1.1 </w:t>
      </w:r>
      <w:r>
        <w:t>验收目的</w:t>
      </w:r>
      <w:r>
        <w:tab/>
      </w:r>
      <w:r>
        <w:fldChar w:fldCharType="begin"/>
      </w:r>
      <w:r>
        <w:instrText xml:space="preserve"> PAGEREF _Toc6235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219E9C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_Toc28115 </w:instrText>
      </w:r>
      <w:r>
        <w:fldChar w:fldCharType="separate"/>
      </w:r>
      <w:r>
        <w:rPr>
          <w:rFonts w:hint="eastAsia"/>
        </w:rPr>
        <w:t xml:space="preserve">1.2 </w:t>
      </w:r>
      <w:r>
        <w:t>冻结范围</w:t>
      </w:r>
      <w:r>
        <w:tab/>
      </w:r>
      <w:r>
        <w:fldChar w:fldCharType="begin"/>
      </w:r>
      <w:r>
        <w:instrText xml:space="preserve"> PAGEREF _Toc28115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684050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_Toc2440 </w:instrText>
      </w:r>
      <w:r>
        <w:fldChar w:fldCharType="separate"/>
      </w:r>
      <w:r>
        <w:rPr>
          <w:rFonts w:hint="eastAsia"/>
        </w:rPr>
        <w:t xml:space="preserve">1.3 </w:t>
      </w:r>
      <w:r>
        <w:t>本轮不继续的工作</w:t>
      </w:r>
      <w:r>
        <w:tab/>
      </w:r>
      <w:r>
        <w:fldChar w:fldCharType="begin"/>
      </w:r>
      <w:r>
        <w:instrText xml:space="preserve"> PAGEREF _Toc2440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B695E8F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_Toc27069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中期交付构成</w:t>
      </w:r>
      <w:r>
        <w:tab/>
      </w:r>
      <w:r>
        <w:fldChar w:fldCharType="begin"/>
      </w:r>
      <w:r>
        <w:instrText xml:space="preserve"> PAGEREF _Toc27069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384E3F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_Toc22542 </w:instrText>
      </w:r>
      <w:r>
        <w:fldChar w:fldCharType="separate"/>
      </w:r>
      <w:r>
        <w:rPr>
          <w:rFonts w:hint="eastAsia"/>
        </w:rPr>
        <w:t xml:space="preserve">2.1 </w:t>
      </w:r>
      <w:r>
        <w:t>文件身份与完整性</w:t>
      </w:r>
      <w:r>
        <w:tab/>
      </w:r>
      <w:r>
        <w:fldChar w:fldCharType="begin"/>
      </w:r>
      <w:r>
        <w:instrText xml:space="preserve"> PAGEREF _Toc22542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A2891F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_Toc9597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版式基线与当前差异</w:t>
      </w:r>
      <w:r>
        <w:tab/>
      </w:r>
      <w:r>
        <w:fldChar w:fldCharType="begin"/>
      </w:r>
      <w:r>
        <w:instrText xml:space="preserve"> PAGEREF _Toc9597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17694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_Toc25722 </w:instrText>
      </w:r>
      <w:r>
        <w:fldChar w:fldCharType="separate"/>
      </w:r>
      <w:r>
        <w:rPr>
          <w:rFonts w:hint="eastAsia"/>
        </w:rPr>
        <w:t xml:space="preserve">3.1 </w:t>
      </w:r>
      <w:r>
        <w:t>唯一版式基线</w:t>
      </w:r>
      <w:r>
        <w:tab/>
      </w:r>
      <w:r>
        <w:fldChar w:fldCharType="begin"/>
      </w:r>
      <w:r>
        <w:instrText xml:space="preserve"> PAGEREF _Toc25722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366189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_Toc8272 </w:instrText>
      </w:r>
      <w:r>
        <w:fldChar w:fldCharType="separate"/>
      </w:r>
      <w:r>
        <w:rPr>
          <w:rFonts w:hint="eastAsia"/>
        </w:rPr>
        <w:t xml:space="preserve">3.2 </w:t>
      </w:r>
      <w:r>
        <w:t>当前已关闭与待关闭项</w:t>
      </w:r>
      <w:r>
        <w:tab/>
      </w:r>
      <w:r>
        <w:fldChar w:fldCharType="begin"/>
      </w:r>
      <w:r>
        <w:instrText xml:space="preserve"> PAGEREF _Toc8272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2084C5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_Toc30299 </w:instrText>
      </w:r>
      <w:r>
        <w:fldChar w:fldCharType="separate"/>
      </w:r>
      <w:r>
        <w:rPr>
          <w:rFonts w:hint="eastAsia"/>
        </w:rPr>
        <w:t xml:space="preserve">3.3 </w:t>
      </w:r>
      <w:r>
        <w:t>验收时的视觉硬门禁</w:t>
      </w:r>
      <w:r>
        <w:tab/>
      </w:r>
      <w:r>
        <w:fldChar w:fldCharType="begin"/>
      </w:r>
      <w:r>
        <w:instrText xml:space="preserve"> PAGEREF _Toc30299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8E63B7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_Toc15304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建议验收顺序</w:t>
      </w:r>
      <w:r>
        <w:tab/>
      </w:r>
      <w:r>
        <w:fldChar w:fldCharType="begin"/>
      </w:r>
      <w:r>
        <w:instrText xml:space="preserve"> PAGEREF _Toc15304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F45A95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_Toc10310 </w:instrText>
      </w:r>
      <w:r>
        <w:fldChar w:fldCharType="separate"/>
      </w:r>
      <w:r>
        <w:rPr>
          <w:rFonts w:hint="eastAsia"/>
        </w:rPr>
        <w:t xml:space="preserve">4.1 </w:t>
      </w:r>
      <w:r>
        <w:t>建议验收结论</w:t>
      </w:r>
      <w:r>
        <w:tab/>
      </w:r>
      <w:r>
        <w:fldChar w:fldCharType="begin"/>
      </w:r>
      <w:r>
        <w:instrText xml:space="preserve"> PAGEREF _Toc10310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60AFC4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_Toc12843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后续工作边界</w:t>
      </w:r>
      <w:r>
        <w:tab/>
      </w:r>
      <w:r>
        <w:fldChar w:fldCharType="begin"/>
      </w:r>
      <w:r>
        <w:instrText xml:space="preserve"> PAGEREF _Toc12843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C5BFDC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_Toc21839 </w:instrText>
      </w:r>
      <w:r>
        <w:fldChar w:fldCharType="separate"/>
      </w:r>
      <w:r>
        <w:rPr>
          <w:rFonts w:hint="eastAsia"/>
        </w:rPr>
        <w:t xml:space="preserve">5.1 </w:t>
      </w:r>
      <w:r>
        <w:t>证据边界</w:t>
      </w:r>
      <w:r>
        <w:tab/>
      </w:r>
      <w:r>
        <w:fldChar w:fldCharType="begin"/>
      </w:r>
      <w:r>
        <w:instrText xml:space="preserve"> PAGEREF _Toc21839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AFDACD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_Toc23707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中期验收记录</w:t>
      </w:r>
      <w:r>
        <w:tab/>
      </w:r>
      <w:r>
        <w:fldChar w:fldCharType="begin"/>
      </w:r>
      <w:r>
        <w:instrText xml:space="preserve"> PAGEREF _Toc23707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EB5513D">
      <w:p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720" w:right="720" w:bottom="720" w:left="720" w:header="454" w:footer="454" w:gutter="0"/>
          <w:cols w:space="720" w:num="1"/>
          <w:titlePg/>
          <w:docGrid w:type="lines" w:linePitch="312" w:charSpace="0"/>
        </w:sectPr>
      </w:pPr>
      <w:r>
        <w:fldChar w:fldCharType="end"/>
      </w:r>
    </w:p>
    <w:p w14:paraId="6ABA1270">
      <w:pPr>
        <w:pStyle w:val="2"/>
      </w:pPr>
      <w:bookmarkStart w:id="0" w:name="_Toc27144"/>
      <w:r>
        <w:t>中期验收说明</w:t>
      </w:r>
      <w:bookmarkEnd w:id="0"/>
    </w:p>
    <w:p w14:paraId="5EA8A157">
      <w:pPr>
        <w:pStyle w:val="4"/>
      </w:pPr>
      <w:bookmarkStart w:id="1" w:name="_Toc6235"/>
      <w:r>
        <w:t>验收目的</w:t>
      </w:r>
      <w:bookmarkEnd w:id="1"/>
    </w:p>
    <w:p w14:paraId="22B33391">
      <w:pPr>
        <w:jc w:val="both"/>
      </w:pPr>
      <w:r>
        <w:rPr>
          <w:rFonts w:ascii="Times New Roman" w:hAnsi="Times New Roman" w:eastAsia="华文楷体"/>
          <w:b w:val="0"/>
          <w:sz w:val="21"/>
        </w:rPr>
        <w:t>本验收包用于冻结CPU2软件详细设计当前阶段成果，供委托方集中检查文档结构、内容覆盖、证据边界、Word版式和流程图可读性。自本包生成后，后续源文档修改不会自动改变本包，验收意见可以按文件名和物理页码稳定定位。</w:t>
      </w:r>
    </w:p>
    <w:p w14:paraId="2BE4AA1E">
      <w:pPr>
        <w:pStyle w:val="4"/>
      </w:pPr>
      <w:bookmarkStart w:id="2" w:name="_Toc28115"/>
      <w:r>
        <w:t>冻结范围</w:t>
      </w:r>
      <w:bookmarkEnd w:id="2"/>
    </w:p>
    <w:p w14:paraId="6D88733A">
      <w:pPr>
        <w:jc w:val="both"/>
      </w:pPr>
      <w:r>
        <w:rPr>
          <w:rFonts w:ascii="Times New Roman" w:hAnsi="Times New Roman" w:eastAsia="华文楷体"/>
          <w:b w:val="0"/>
          <w:sz w:val="21"/>
        </w:rPr>
        <w:t>冻结范围为1个总册和8个现行专业分册，共289个物理页、256个正文页、51张可编辑Visio流程图。各分册正文和内部版本保持现行正式维护源不变，本包只增加验收导读、文件顺序、源路径映射和完整性哈希。</w:t>
      </w:r>
    </w:p>
    <w:p w14:paraId="6E239E0F">
      <w:pPr>
        <w:pStyle w:val="4"/>
      </w:pPr>
      <w:bookmarkStart w:id="3" w:name="_Toc2440"/>
      <w:r>
        <w:t>本轮不继续的工作</w:t>
      </w:r>
      <w:bookmarkEnd w:id="3"/>
    </w:p>
    <w:p w14:paraId="43C54A9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除已完成的17个Word OLE辅助画布整改外，暂停第3分册及后续分册的直接格式硬化，不在本轮继续扩写正文或修改独立Visio源。</w:t>
      </w:r>
    </w:p>
    <w:p w14:paraId="0764140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不补写批准软件需求、安全需求、目标板、台架、现场、故障注入或认证机构证据。</w:t>
      </w:r>
    </w:p>
    <w:p w14:paraId="3F3C235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不改固件、不升版、不暂存、不提交、不推送。</w:t>
      </w:r>
    </w:p>
    <w:p w14:paraId="66C92DF0">
      <w:pPr>
        <w:pStyle w:val="2"/>
      </w:pPr>
      <w:bookmarkStart w:id="4" w:name="_Toc27069"/>
      <w:r>
        <w:t>中期交付构成</w:t>
      </w:r>
      <w:bookmarkEnd w:id="4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1780"/>
        <w:gridCol w:w="1780"/>
        <w:gridCol w:w="1780"/>
        <w:gridCol w:w="1780"/>
        <w:gridCol w:w="1780"/>
      </w:tblGrid>
      <w:tr w14:paraId="36F3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0" w:type="pct"/>
            <w:vAlign w:val="center"/>
          </w:tcPr>
          <w:p w14:paraId="018EBF7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序号</w:t>
            </w:r>
          </w:p>
        </w:tc>
        <w:tc>
          <w:tcPr>
            <w:tcW w:w="650" w:type="pct"/>
            <w:vAlign w:val="center"/>
          </w:tcPr>
          <w:p w14:paraId="30B8785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分册</w:t>
            </w:r>
          </w:p>
        </w:tc>
        <w:tc>
          <w:tcPr>
            <w:tcW w:w="1350" w:type="pct"/>
            <w:vAlign w:val="center"/>
          </w:tcPr>
          <w:p w14:paraId="6D796DB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责任域</w:t>
            </w:r>
          </w:p>
        </w:tc>
        <w:tc>
          <w:tcPr>
            <w:tcW w:w="550" w:type="pct"/>
            <w:vAlign w:val="center"/>
          </w:tcPr>
          <w:p w14:paraId="6302DF3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版本</w:t>
            </w:r>
          </w:p>
        </w:tc>
        <w:tc>
          <w:tcPr>
            <w:tcW w:w="550" w:type="pct"/>
            <w:vAlign w:val="center"/>
          </w:tcPr>
          <w:p w14:paraId="484CFE2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物理页</w:t>
            </w:r>
          </w:p>
        </w:tc>
        <w:tc>
          <w:tcPr>
            <w:tcW w:w="1500" w:type="pct"/>
            <w:vAlign w:val="center"/>
          </w:tcPr>
          <w:p w14:paraId="256D294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当前状态</w:t>
            </w:r>
          </w:p>
        </w:tc>
      </w:tr>
      <w:tr w14:paraId="36AED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0" w:type="pct"/>
            <w:vAlign w:val="center"/>
          </w:tcPr>
          <w:p w14:paraId="3D0C78B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01</w:t>
            </w:r>
          </w:p>
        </w:tc>
        <w:tc>
          <w:tcPr>
            <w:tcW w:w="650" w:type="pct"/>
            <w:vAlign w:val="center"/>
          </w:tcPr>
          <w:p w14:paraId="7222DA8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总册</w:t>
            </w:r>
          </w:p>
        </w:tc>
        <w:tc>
          <w:tcPr>
            <w:tcW w:w="1350" w:type="pct"/>
            <w:vAlign w:val="center"/>
          </w:tcPr>
          <w:p w14:paraId="15C50D5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文档控制与总体说明</w:t>
            </w:r>
          </w:p>
        </w:tc>
        <w:tc>
          <w:tcPr>
            <w:tcW w:w="550" w:type="pct"/>
            <w:vAlign w:val="center"/>
          </w:tcPr>
          <w:p w14:paraId="70A2620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V0.2</w:t>
            </w:r>
          </w:p>
        </w:tc>
        <w:tc>
          <w:tcPr>
            <w:tcW w:w="550" w:type="pct"/>
            <w:vAlign w:val="center"/>
          </w:tcPr>
          <w:p w14:paraId="31075AB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10</w:t>
            </w:r>
          </w:p>
        </w:tc>
        <w:tc>
          <w:tcPr>
            <w:tcW w:w="1500" w:type="pct"/>
            <w:vAlign w:val="center"/>
          </w:tcPr>
          <w:p w14:paraId="47C4B4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周期13格式硬化完成</w:t>
            </w:r>
          </w:p>
        </w:tc>
      </w:tr>
      <w:tr w14:paraId="355BB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0" w:type="pct"/>
            <w:vAlign w:val="center"/>
          </w:tcPr>
          <w:p w14:paraId="046B566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02</w:t>
            </w:r>
          </w:p>
        </w:tc>
        <w:tc>
          <w:tcPr>
            <w:tcW w:w="650" w:type="pct"/>
            <w:vAlign w:val="center"/>
          </w:tcPr>
          <w:p w14:paraId="3C94258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第1分册</w:t>
            </w:r>
          </w:p>
        </w:tc>
        <w:tc>
          <w:tcPr>
            <w:tcW w:w="1350" w:type="pct"/>
            <w:vAlign w:val="center"/>
          </w:tcPr>
          <w:p w14:paraId="2CC2663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总体架构与运行框架</w:t>
            </w:r>
          </w:p>
        </w:tc>
        <w:tc>
          <w:tcPr>
            <w:tcW w:w="550" w:type="pct"/>
            <w:vAlign w:val="center"/>
          </w:tcPr>
          <w:p w14:paraId="260EB2C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V0.2</w:t>
            </w:r>
          </w:p>
        </w:tc>
        <w:tc>
          <w:tcPr>
            <w:tcW w:w="550" w:type="pct"/>
            <w:vAlign w:val="center"/>
          </w:tcPr>
          <w:p w14:paraId="4C0BAF5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17</w:t>
            </w:r>
          </w:p>
        </w:tc>
        <w:tc>
          <w:tcPr>
            <w:tcW w:w="1500" w:type="pct"/>
            <w:vAlign w:val="center"/>
          </w:tcPr>
          <w:p w14:paraId="17215F9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周期13格式硬化完成</w:t>
            </w:r>
          </w:p>
        </w:tc>
      </w:tr>
      <w:tr w14:paraId="0CD0D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0" w:type="pct"/>
            <w:vAlign w:val="center"/>
          </w:tcPr>
          <w:p w14:paraId="3FFE814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03</w:t>
            </w:r>
          </w:p>
        </w:tc>
        <w:tc>
          <w:tcPr>
            <w:tcW w:w="650" w:type="pct"/>
            <w:vAlign w:val="center"/>
          </w:tcPr>
          <w:p w14:paraId="7E39CF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第2A分册</w:t>
            </w:r>
          </w:p>
        </w:tc>
        <w:tc>
          <w:tcPr>
            <w:tcW w:w="1350" w:type="pct"/>
            <w:vAlign w:val="center"/>
          </w:tcPr>
          <w:p w14:paraId="019959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测量与传感器</w:t>
            </w:r>
          </w:p>
        </w:tc>
        <w:tc>
          <w:tcPr>
            <w:tcW w:w="550" w:type="pct"/>
            <w:vAlign w:val="center"/>
          </w:tcPr>
          <w:p w14:paraId="4C042A5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V0.4</w:t>
            </w:r>
          </w:p>
        </w:tc>
        <w:tc>
          <w:tcPr>
            <w:tcW w:w="550" w:type="pct"/>
            <w:vAlign w:val="center"/>
          </w:tcPr>
          <w:p w14:paraId="1D1FD8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53</w:t>
            </w:r>
          </w:p>
        </w:tc>
        <w:tc>
          <w:tcPr>
            <w:tcW w:w="1500" w:type="pct"/>
            <w:vAlign w:val="center"/>
          </w:tcPr>
          <w:p w14:paraId="520D35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11张OLE灰框整改完成，待直接格式硬化</w:t>
            </w:r>
          </w:p>
        </w:tc>
      </w:tr>
      <w:tr w14:paraId="15C3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0" w:type="pct"/>
            <w:vAlign w:val="center"/>
          </w:tcPr>
          <w:p w14:paraId="54145F9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04</w:t>
            </w:r>
          </w:p>
        </w:tc>
        <w:tc>
          <w:tcPr>
            <w:tcW w:w="650" w:type="pct"/>
            <w:vAlign w:val="center"/>
          </w:tcPr>
          <w:p w14:paraId="31C8C93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第2B分册</w:t>
            </w:r>
          </w:p>
        </w:tc>
        <w:tc>
          <w:tcPr>
            <w:tcW w:w="1350" w:type="pct"/>
            <w:vAlign w:val="center"/>
          </w:tcPr>
          <w:p w14:paraId="284E578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运动位置与编码器</w:t>
            </w:r>
          </w:p>
        </w:tc>
        <w:tc>
          <w:tcPr>
            <w:tcW w:w="550" w:type="pct"/>
            <w:vAlign w:val="center"/>
          </w:tcPr>
          <w:p w14:paraId="0F62417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V0.4</w:t>
            </w:r>
          </w:p>
        </w:tc>
        <w:tc>
          <w:tcPr>
            <w:tcW w:w="550" w:type="pct"/>
            <w:vAlign w:val="center"/>
          </w:tcPr>
          <w:p w14:paraId="77DE72D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29</w:t>
            </w:r>
          </w:p>
        </w:tc>
        <w:tc>
          <w:tcPr>
            <w:tcW w:w="1500" w:type="pct"/>
            <w:vAlign w:val="center"/>
          </w:tcPr>
          <w:p w14:paraId="45456E3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周期13格式硬化完成</w:t>
            </w:r>
          </w:p>
        </w:tc>
      </w:tr>
      <w:tr w14:paraId="46A21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0" w:type="pct"/>
            <w:vAlign w:val="center"/>
          </w:tcPr>
          <w:p w14:paraId="4BF5560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05</w:t>
            </w:r>
          </w:p>
        </w:tc>
        <w:tc>
          <w:tcPr>
            <w:tcW w:w="650" w:type="pct"/>
            <w:vAlign w:val="center"/>
          </w:tcPr>
          <w:p w14:paraId="7C83270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第3分册</w:t>
            </w:r>
          </w:p>
        </w:tc>
        <w:tc>
          <w:tcPr>
            <w:tcW w:w="1350" w:type="pct"/>
            <w:vAlign w:val="center"/>
          </w:tcPr>
          <w:p w14:paraId="126A5A9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通信接口与数据</w:t>
            </w:r>
          </w:p>
        </w:tc>
        <w:tc>
          <w:tcPr>
            <w:tcW w:w="550" w:type="pct"/>
            <w:vAlign w:val="center"/>
          </w:tcPr>
          <w:p w14:paraId="060F6CB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V0.2</w:t>
            </w:r>
          </w:p>
        </w:tc>
        <w:tc>
          <w:tcPr>
            <w:tcW w:w="550" w:type="pct"/>
            <w:vAlign w:val="center"/>
          </w:tcPr>
          <w:p w14:paraId="7693A96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35</w:t>
            </w:r>
          </w:p>
        </w:tc>
        <w:tc>
          <w:tcPr>
            <w:tcW w:w="1500" w:type="pct"/>
            <w:vAlign w:val="center"/>
          </w:tcPr>
          <w:p w14:paraId="791021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6张OLE灰框整改完成，待直接格式硬化</w:t>
            </w:r>
          </w:p>
        </w:tc>
      </w:tr>
      <w:tr w14:paraId="32445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0" w:type="pct"/>
            <w:vAlign w:val="center"/>
          </w:tcPr>
          <w:p w14:paraId="6ACF011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06</w:t>
            </w:r>
          </w:p>
        </w:tc>
        <w:tc>
          <w:tcPr>
            <w:tcW w:w="650" w:type="pct"/>
            <w:vAlign w:val="center"/>
          </w:tcPr>
          <w:p w14:paraId="370FCA7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第4分册</w:t>
            </w:r>
          </w:p>
        </w:tc>
        <w:tc>
          <w:tcPr>
            <w:tcW w:w="1350" w:type="pct"/>
            <w:vAlign w:val="center"/>
          </w:tcPr>
          <w:p w14:paraId="0823D19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参数管理与FRAM持久化</w:t>
            </w:r>
          </w:p>
        </w:tc>
        <w:tc>
          <w:tcPr>
            <w:tcW w:w="550" w:type="pct"/>
            <w:vAlign w:val="center"/>
          </w:tcPr>
          <w:p w14:paraId="2BEE401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V0.2</w:t>
            </w:r>
          </w:p>
        </w:tc>
        <w:tc>
          <w:tcPr>
            <w:tcW w:w="550" w:type="pct"/>
            <w:vAlign w:val="center"/>
          </w:tcPr>
          <w:p w14:paraId="0306436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28</w:t>
            </w:r>
          </w:p>
        </w:tc>
        <w:tc>
          <w:tcPr>
            <w:tcW w:w="1500" w:type="pct"/>
            <w:vAlign w:val="center"/>
          </w:tcPr>
          <w:p w14:paraId="0368F71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周期13格式硬化完成</w:t>
            </w:r>
          </w:p>
        </w:tc>
      </w:tr>
      <w:tr w14:paraId="059BB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0" w:type="pct"/>
            <w:vAlign w:val="center"/>
          </w:tcPr>
          <w:p w14:paraId="29FCEA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07</w:t>
            </w:r>
          </w:p>
        </w:tc>
        <w:tc>
          <w:tcPr>
            <w:tcW w:w="650" w:type="pct"/>
            <w:vAlign w:val="center"/>
          </w:tcPr>
          <w:p w14:paraId="7F8B70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第5分册</w:t>
            </w:r>
          </w:p>
        </w:tc>
        <w:tc>
          <w:tcPr>
            <w:tcW w:w="1350" w:type="pct"/>
            <w:vAlign w:val="center"/>
          </w:tcPr>
          <w:p w14:paraId="73BCB5B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故障恢复与安全机制</w:t>
            </w:r>
          </w:p>
        </w:tc>
        <w:tc>
          <w:tcPr>
            <w:tcW w:w="550" w:type="pct"/>
            <w:vAlign w:val="center"/>
          </w:tcPr>
          <w:p w14:paraId="2F72D0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V0.2</w:t>
            </w:r>
          </w:p>
        </w:tc>
        <w:tc>
          <w:tcPr>
            <w:tcW w:w="550" w:type="pct"/>
            <w:vAlign w:val="center"/>
          </w:tcPr>
          <w:p w14:paraId="3D11BE4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38</w:t>
            </w:r>
          </w:p>
        </w:tc>
        <w:tc>
          <w:tcPr>
            <w:tcW w:w="1500" w:type="pct"/>
            <w:vAlign w:val="center"/>
          </w:tcPr>
          <w:p w14:paraId="78A8204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内容与逐页检查完成，待直接格式硬化</w:t>
            </w:r>
          </w:p>
        </w:tc>
      </w:tr>
      <w:tr w14:paraId="3832F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0" w:type="pct"/>
            <w:vAlign w:val="center"/>
          </w:tcPr>
          <w:p w14:paraId="29460E0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08</w:t>
            </w:r>
          </w:p>
        </w:tc>
        <w:tc>
          <w:tcPr>
            <w:tcW w:w="650" w:type="pct"/>
            <w:vAlign w:val="center"/>
          </w:tcPr>
          <w:p w14:paraId="54ACF6F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第6分册</w:t>
            </w:r>
          </w:p>
        </w:tc>
        <w:tc>
          <w:tcPr>
            <w:tcW w:w="1350" w:type="pct"/>
            <w:vAlign w:val="center"/>
          </w:tcPr>
          <w:p w14:paraId="3A4CB84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输出控制与硬件服务</w:t>
            </w:r>
          </w:p>
        </w:tc>
        <w:tc>
          <w:tcPr>
            <w:tcW w:w="550" w:type="pct"/>
            <w:vAlign w:val="center"/>
          </w:tcPr>
          <w:p w14:paraId="783E25C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V0.2</w:t>
            </w:r>
          </w:p>
        </w:tc>
        <w:tc>
          <w:tcPr>
            <w:tcW w:w="550" w:type="pct"/>
            <w:vAlign w:val="center"/>
          </w:tcPr>
          <w:p w14:paraId="174E535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49</w:t>
            </w:r>
          </w:p>
        </w:tc>
        <w:tc>
          <w:tcPr>
            <w:tcW w:w="1500" w:type="pct"/>
            <w:vAlign w:val="center"/>
          </w:tcPr>
          <w:p w14:paraId="3172C43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内容与逐页检查完成，待直接格式硬化</w:t>
            </w:r>
          </w:p>
        </w:tc>
      </w:tr>
      <w:tr w14:paraId="32DA0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0" w:type="pct"/>
            <w:vAlign w:val="center"/>
          </w:tcPr>
          <w:p w14:paraId="746A3B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09</w:t>
            </w:r>
          </w:p>
        </w:tc>
        <w:tc>
          <w:tcPr>
            <w:tcW w:w="650" w:type="pct"/>
            <w:vAlign w:val="center"/>
          </w:tcPr>
          <w:p w14:paraId="47D817A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第7分册</w:t>
            </w:r>
          </w:p>
        </w:tc>
        <w:tc>
          <w:tcPr>
            <w:tcW w:w="1350" w:type="pct"/>
            <w:vAlign w:val="center"/>
          </w:tcPr>
          <w:p w14:paraId="6CC00E1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追踪验证与附录</w:t>
            </w:r>
          </w:p>
        </w:tc>
        <w:tc>
          <w:tcPr>
            <w:tcW w:w="550" w:type="pct"/>
            <w:vAlign w:val="center"/>
          </w:tcPr>
          <w:p w14:paraId="3DC56F0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V0.2</w:t>
            </w:r>
          </w:p>
        </w:tc>
        <w:tc>
          <w:tcPr>
            <w:tcW w:w="550" w:type="pct"/>
            <w:vAlign w:val="center"/>
          </w:tcPr>
          <w:p w14:paraId="73172E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30</w:t>
            </w:r>
          </w:p>
        </w:tc>
        <w:tc>
          <w:tcPr>
            <w:tcW w:w="1500" w:type="pct"/>
            <w:vAlign w:val="center"/>
          </w:tcPr>
          <w:p w14:paraId="578FC1D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风险与分页收敛完成，待直接格式硬化</w:t>
            </w:r>
          </w:p>
        </w:tc>
      </w:tr>
    </w:tbl>
    <w:p w14:paraId="6CAE1C15"/>
    <w:p w14:paraId="3AB27E3C">
      <w:pPr>
        <w:pStyle w:val="4"/>
      </w:pPr>
      <w:bookmarkStart w:id="5" w:name="_Toc22542"/>
      <w:r>
        <w:t>文件身份与完整性</w:t>
      </w:r>
      <w:bookmarkEnd w:id="5"/>
    </w:p>
    <w:p w14:paraId="21DEC209">
      <w:pPr>
        <w:jc w:val="both"/>
      </w:pPr>
      <w:r>
        <w:rPr>
          <w:rFonts w:ascii="Times New Roman" w:hAnsi="Times New Roman" w:eastAsia="华文楷体"/>
          <w:b w:val="0"/>
          <w:sz w:val="21"/>
        </w:rPr>
        <w:t>下表给出便于人工识别的SHA-256缩略标识；完整64位哈希、正式源路径、冻结副本路径、文件长度和DOCX ZIP校验结果见同目录的文件清单与哈希.json。</w:t>
      </w:r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1"/>
        <w:gridCol w:w="3561"/>
        <w:gridCol w:w="3561"/>
      </w:tblGrid>
      <w:tr w14:paraId="1385C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50" w:type="pct"/>
            <w:vAlign w:val="center"/>
          </w:tcPr>
          <w:p w14:paraId="564DEDF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分册</w:t>
            </w:r>
          </w:p>
        </w:tc>
        <w:tc>
          <w:tcPr>
            <w:tcW w:w="2750" w:type="pct"/>
            <w:vAlign w:val="center"/>
          </w:tcPr>
          <w:p w14:paraId="368CD42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冻结文件</w:t>
            </w:r>
          </w:p>
        </w:tc>
        <w:tc>
          <w:tcPr>
            <w:tcW w:w="1600" w:type="pct"/>
            <w:vAlign w:val="center"/>
          </w:tcPr>
          <w:p w14:paraId="0B7B691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SHA-256标识</w:t>
            </w:r>
          </w:p>
        </w:tc>
      </w:tr>
      <w:tr w14:paraId="3F6A0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537097B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总册</w:t>
            </w:r>
          </w:p>
        </w:tc>
        <w:tc>
          <w:tcPr>
            <w:tcW w:w="2750" w:type="pct"/>
            <w:vAlign w:val="center"/>
          </w:tcPr>
          <w:p w14:paraId="33326BB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01_FX01.CPU2软件详细设计_总册V0.2.docx</w:t>
            </w:r>
          </w:p>
        </w:tc>
        <w:tc>
          <w:tcPr>
            <w:tcW w:w="1600" w:type="pct"/>
            <w:vAlign w:val="center"/>
          </w:tcPr>
          <w:p w14:paraId="42E2519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BC7B77B2736A7D17...A906C31C31C21300</w:t>
            </w:r>
          </w:p>
        </w:tc>
      </w:tr>
      <w:tr w14:paraId="6D54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066FDBF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第1分册</w:t>
            </w:r>
          </w:p>
        </w:tc>
        <w:tc>
          <w:tcPr>
            <w:tcW w:w="2750" w:type="pct"/>
            <w:vAlign w:val="center"/>
          </w:tcPr>
          <w:p w14:paraId="29B1222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02_FX01.CPU2软件详细设计_第1分册_总体架构与运行框架V0.2.docx</w:t>
            </w:r>
          </w:p>
        </w:tc>
        <w:tc>
          <w:tcPr>
            <w:tcW w:w="1600" w:type="pct"/>
            <w:vAlign w:val="center"/>
          </w:tcPr>
          <w:p w14:paraId="28EEB0F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07D3FD6091F010A6...C16BA7FD11A3092C</w:t>
            </w:r>
          </w:p>
        </w:tc>
      </w:tr>
      <w:tr w14:paraId="3B261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4E88D2E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第2A分册</w:t>
            </w:r>
          </w:p>
        </w:tc>
        <w:tc>
          <w:tcPr>
            <w:tcW w:w="2750" w:type="pct"/>
            <w:vAlign w:val="center"/>
          </w:tcPr>
          <w:p w14:paraId="4425B2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03_FX01.CPU2软件详细设计_第2A分册_测量与传感器V0.4.docx</w:t>
            </w:r>
          </w:p>
        </w:tc>
        <w:tc>
          <w:tcPr>
            <w:tcW w:w="1600" w:type="pct"/>
            <w:vAlign w:val="center"/>
          </w:tcPr>
          <w:p w14:paraId="3AE9DCE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BB77ACDA4000DAAB...41CA1180368DC958</w:t>
            </w:r>
          </w:p>
        </w:tc>
      </w:tr>
      <w:tr w14:paraId="7899C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7CD428B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第2B分册</w:t>
            </w:r>
          </w:p>
        </w:tc>
        <w:tc>
          <w:tcPr>
            <w:tcW w:w="2750" w:type="pct"/>
            <w:vAlign w:val="center"/>
          </w:tcPr>
          <w:p w14:paraId="2828DFA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04_FX01.CPU2软件详细设计_第2B分册_运动位置与编码器V0.4.docx</w:t>
            </w:r>
          </w:p>
        </w:tc>
        <w:tc>
          <w:tcPr>
            <w:tcW w:w="1600" w:type="pct"/>
            <w:vAlign w:val="center"/>
          </w:tcPr>
          <w:p w14:paraId="619FA47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080B4EF1B3448B0F...ACFF52F4837F006B</w:t>
            </w:r>
          </w:p>
        </w:tc>
      </w:tr>
      <w:tr w14:paraId="6781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54D1EB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第3分册</w:t>
            </w:r>
          </w:p>
        </w:tc>
        <w:tc>
          <w:tcPr>
            <w:tcW w:w="2750" w:type="pct"/>
            <w:vAlign w:val="center"/>
          </w:tcPr>
          <w:p w14:paraId="4932D5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05_FX01.CPU2软件详细设计_第3分册_通信接口与数据V0.2.docx</w:t>
            </w:r>
          </w:p>
        </w:tc>
        <w:tc>
          <w:tcPr>
            <w:tcW w:w="1600" w:type="pct"/>
            <w:vAlign w:val="center"/>
          </w:tcPr>
          <w:p w14:paraId="40EA0B7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8ED3D16A963A8BF4...86F570644D26AD59</w:t>
            </w:r>
          </w:p>
        </w:tc>
      </w:tr>
      <w:tr w14:paraId="7B98B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2EA360D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第4分册</w:t>
            </w:r>
          </w:p>
        </w:tc>
        <w:tc>
          <w:tcPr>
            <w:tcW w:w="2750" w:type="pct"/>
            <w:vAlign w:val="center"/>
          </w:tcPr>
          <w:p w14:paraId="18D21B8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06_FX01.CPU2软件详细设计_第4分册_参数管理与FRAM持久化V0.2.docx</w:t>
            </w:r>
          </w:p>
        </w:tc>
        <w:tc>
          <w:tcPr>
            <w:tcW w:w="1600" w:type="pct"/>
            <w:vAlign w:val="center"/>
          </w:tcPr>
          <w:p w14:paraId="14079F4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B5D1B5DA3547B0BF...B381BE77D06722CC</w:t>
            </w:r>
          </w:p>
        </w:tc>
      </w:tr>
      <w:tr w14:paraId="50396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4DE9F5D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第5分册</w:t>
            </w:r>
          </w:p>
        </w:tc>
        <w:tc>
          <w:tcPr>
            <w:tcW w:w="2750" w:type="pct"/>
            <w:vAlign w:val="center"/>
          </w:tcPr>
          <w:p w14:paraId="032073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07_FX01.CPU2软件详细设计_第5分册_故障恢复与安全机制V0.2.docx</w:t>
            </w:r>
          </w:p>
        </w:tc>
        <w:tc>
          <w:tcPr>
            <w:tcW w:w="1600" w:type="pct"/>
            <w:vAlign w:val="center"/>
          </w:tcPr>
          <w:p w14:paraId="1B89F71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149BB3F2476CC7E2...319B480697CE9C76</w:t>
            </w:r>
          </w:p>
        </w:tc>
      </w:tr>
      <w:tr w14:paraId="19A88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3D04C78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第6分册</w:t>
            </w:r>
          </w:p>
        </w:tc>
        <w:tc>
          <w:tcPr>
            <w:tcW w:w="2750" w:type="pct"/>
            <w:vAlign w:val="center"/>
          </w:tcPr>
          <w:p w14:paraId="466437A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08_FX01.CPU2软件详细设计_第6分册_输出控制与硬件服务V0.2.docx</w:t>
            </w:r>
          </w:p>
        </w:tc>
        <w:tc>
          <w:tcPr>
            <w:tcW w:w="1600" w:type="pct"/>
            <w:vAlign w:val="center"/>
          </w:tcPr>
          <w:p w14:paraId="26C077E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63E8D7E0F590B0A1...036D5E50D51F76D9</w:t>
            </w:r>
          </w:p>
        </w:tc>
      </w:tr>
      <w:tr w14:paraId="1A516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" w:type="pct"/>
            <w:vAlign w:val="center"/>
          </w:tcPr>
          <w:p w14:paraId="396B2F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第7分册</w:t>
            </w:r>
          </w:p>
        </w:tc>
        <w:tc>
          <w:tcPr>
            <w:tcW w:w="2750" w:type="pct"/>
            <w:vAlign w:val="center"/>
          </w:tcPr>
          <w:p w14:paraId="51143E5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09_FX01.CPU2软件详细设计_第7分册_追踪验证与附录V0.2.docx</w:t>
            </w:r>
          </w:p>
        </w:tc>
        <w:tc>
          <w:tcPr>
            <w:tcW w:w="1600" w:type="pct"/>
            <w:vAlign w:val="center"/>
          </w:tcPr>
          <w:p w14:paraId="54BBB5E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1E19BA520DFF4B88...63F6F89811505B20</w:t>
            </w:r>
          </w:p>
        </w:tc>
      </w:tr>
    </w:tbl>
    <w:p w14:paraId="097C0BA3">
      <w:pPr>
        <w:pStyle w:val="2"/>
        <w:pageBreakBefore/>
      </w:pPr>
      <w:bookmarkStart w:id="6" w:name="_Toc9597"/>
      <w:r>
        <w:t>版式基线与当前差异</w:t>
      </w:r>
      <w:bookmarkEnd w:id="6"/>
    </w:p>
    <w:p w14:paraId="3C754C73">
      <w:pPr>
        <w:pStyle w:val="4"/>
      </w:pPr>
      <w:bookmarkStart w:id="7" w:name="_Toc25722"/>
      <w:r>
        <w:t>唯一版式基线</w:t>
      </w:r>
      <w:bookmarkEnd w:id="7"/>
    </w:p>
    <w:p w14:paraId="61C14836">
      <w:pPr>
        <w:jc w:val="both"/>
      </w:pPr>
      <w:r>
        <w:rPr>
          <w:rFonts w:ascii="Times New Roman" w:hAnsi="Times New Roman" w:eastAsia="华文楷体"/>
          <w:b w:val="0"/>
          <w:sz w:val="21"/>
        </w:rPr>
        <w:t>唯一正式版式基线为FX01.软件详细设计V1.1_一代参考.docx。参考文件SHA-256为D5FE2734A6B274B8D5161F65E186A281FC2FD568F51EAEE61790198A3E9BE475，styles.xml基线为167032C11BB54AA1925824A17484C0DC7DD0B48A35AF17371444CECE61E9F389。styles.xml一致只是必要条件，还必须检查分节栏距、直接单元格边距、页眉页脚、跨页表格、OLE、流程图和最终分页。</w:t>
      </w:r>
    </w:p>
    <w:p w14:paraId="4FE7E108">
      <w:pPr>
        <w:pStyle w:val="4"/>
      </w:pPr>
      <w:bookmarkStart w:id="8" w:name="_Toc8272"/>
      <w:r>
        <w:t>当前已关闭与待关闭项</w:t>
      </w:r>
      <w:bookmarkEnd w:id="8"/>
    </w:p>
    <w:p w14:paraId="78EE2EC1">
      <w:pPr>
        <w:jc w:val="both"/>
      </w:pPr>
      <w:r>
        <w:rPr>
          <w:rFonts w:ascii="Times New Roman" w:hAnsi="Times New Roman" w:eastAsia="华文楷体"/>
          <w:b w:val="0"/>
          <w:sz w:val="21"/>
        </w:rPr>
        <w:t>当前4/9份现行Word已完成周期13直接格式硬化。其余分册没有发现已知页面级重叠或裁切故障，但仍保留旧生成链写入的直接单元格边距和封面节720 twip栏距，因此本包是中期验收稿，不是最终版式合格声明。</w:t>
      </w:r>
    </w:p>
    <w:p w14:paraId="1E5F2C85">
      <w:pPr>
        <w:jc w:val="both"/>
      </w:pPr>
      <w:r>
        <w:rPr>
          <w:rFonts w:ascii="Times New Roman" w:hAnsi="Times New Roman" w:eastAsia="华文楷体"/>
          <w:b w:val="0"/>
          <w:sz w:val="21"/>
        </w:rPr>
        <w:t>冻结前已清除第2A分册P42-P52和第3分册P17-P22共17页的浅灰辅助画布外框；Word OLE仅排除画布，独立VSDX哈希不变。9份文档按最终输入完成289/289页复核，全部视觉硬门禁通过。</w:t>
      </w:r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671"/>
        <w:gridCol w:w="2671"/>
        <w:gridCol w:w="2671"/>
      </w:tblGrid>
      <w:tr w14:paraId="49A0F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0" w:type="pct"/>
            <w:vAlign w:val="center"/>
          </w:tcPr>
          <w:p w14:paraId="7E393A2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分册</w:t>
            </w:r>
          </w:p>
        </w:tc>
        <w:tc>
          <w:tcPr>
            <w:tcW w:w="900" w:type="pct"/>
            <w:vAlign w:val="center"/>
          </w:tcPr>
          <w:p w14:paraId="4AF2CE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直接tcMar数量</w:t>
            </w:r>
          </w:p>
        </w:tc>
        <w:tc>
          <w:tcPr>
            <w:tcW w:w="1100" w:type="pct"/>
            <w:vAlign w:val="center"/>
          </w:tcPr>
          <w:p w14:paraId="1D4BA8D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三节栏距twip</w:t>
            </w:r>
          </w:p>
        </w:tc>
        <w:tc>
          <w:tcPr>
            <w:tcW w:w="2300" w:type="pct"/>
            <w:vAlign w:val="center"/>
          </w:tcPr>
          <w:p w14:paraId="7EEDBA0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中期状态</w:t>
            </w:r>
          </w:p>
        </w:tc>
      </w:tr>
      <w:tr w14:paraId="3D6B8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6C4C3BF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总册</w:t>
            </w:r>
          </w:p>
        </w:tc>
        <w:tc>
          <w:tcPr>
            <w:tcW w:w="900" w:type="pct"/>
            <w:vAlign w:val="center"/>
          </w:tcPr>
          <w:p w14:paraId="209A9CC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</w:t>
            </w:r>
          </w:p>
        </w:tc>
        <w:tc>
          <w:tcPr>
            <w:tcW w:w="1100" w:type="pct"/>
            <w:vAlign w:val="center"/>
          </w:tcPr>
          <w:p w14:paraId="196074A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425/720/720</w:t>
            </w:r>
          </w:p>
        </w:tc>
        <w:tc>
          <w:tcPr>
            <w:tcW w:w="2300" w:type="pct"/>
            <w:vAlign w:val="center"/>
          </w:tcPr>
          <w:p w14:paraId="51CD114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周期13格式硬化完成</w:t>
            </w:r>
          </w:p>
        </w:tc>
      </w:tr>
      <w:tr w14:paraId="520B0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03007C7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第1分册</w:t>
            </w:r>
          </w:p>
        </w:tc>
        <w:tc>
          <w:tcPr>
            <w:tcW w:w="900" w:type="pct"/>
            <w:vAlign w:val="center"/>
          </w:tcPr>
          <w:p w14:paraId="43D0DF4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</w:t>
            </w:r>
          </w:p>
        </w:tc>
        <w:tc>
          <w:tcPr>
            <w:tcW w:w="1100" w:type="pct"/>
            <w:vAlign w:val="center"/>
          </w:tcPr>
          <w:p w14:paraId="36A1683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425/720/720</w:t>
            </w:r>
          </w:p>
        </w:tc>
        <w:tc>
          <w:tcPr>
            <w:tcW w:w="2300" w:type="pct"/>
            <w:vAlign w:val="center"/>
          </w:tcPr>
          <w:p w14:paraId="4A17DD6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周期13格式硬化完成</w:t>
            </w:r>
          </w:p>
        </w:tc>
      </w:tr>
      <w:tr w14:paraId="4E3BA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387B93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第2A分册</w:t>
            </w:r>
          </w:p>
        </w:tc>
        <w:tc>
          <w:tcPr>
            <w:tcW w:w="900" w:type="pct"/>
            <w:vAlign w:val="center"/>
          </w:tcPr>
          <w:p w14:paraId="70F73E8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1502</w:t>
            </w:r>
          </w:p>
        </w:tc>
        <w:tc>
          <w:tcPr>
            <w:tcW w:w="1100" w:type="pct"/>
            <w:vAlign w:val="center"/>
          </w:tcPr>
          <w:p w14:paraId="7F8D1DA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720/720/720</w:t>
            </w:r>
          </w:p>
        </w:tc>
        <w:tc>
          <w:tcPr>
            <w:tcW w:w="2300" w:type="pct"/>
            <w:vAlign w:val="center"/>
          </w:tcPr>
          <w:p w14:paraId="477CA5B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11张OLE灰框整改完成，待直接格式硬化</w:t>
            </w:r>
          </w:p>
        </w:tc>
      </w:tr>
      <w:tr w14:paraId="72DF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560F202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第2B分册</w:t>
            </w:r>
          </w:p>
        </w:tc>
        <w:tc>
          <w:tcPr>
            <w:tcW w:w="900" w:type="pct"/>
            <w:vAlign w:val="center"/>
          </w:tcPr>
          <w:p w14:paraId="62C445B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</w:t>
            </w:r>
          </w:p>
        </w:tc>
        <w:tc>
          <w:tcPr>
            <w:tcW w:w="1100" w:type="pct"/>
            <w:vAlign w:val="center"/>
          </w:tcPr>
          <w:p w14:paraId="68E13F1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425/720/720</w:t>
            </w:r>
          </w:p>
        </w:tc>
        <w:tc>
          <w:tcPr>
            <w:tcW w:w="2300" w:type="pct"/>
            <w:vAlign w:val="center"/>
          </w:tcPr>
          <w:p w14:paraId="2E9D9D6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周期13格式硬化完成</w:t>
            </w:r>
          </w:p>
        </w:tc>
      </w:tr>
      <w:tr w14:paraId="3D286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73CF2D9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第3分册</w:t>
            </w:r>
          </w:p>
        </w:tc>
        <w:tc>
          <w:tcPr>
            <w:tcW w:w="900" w:type="pct"/>
            <w:vAlign w:val="center"/>
          </w:tcPr>
          <w:p w14:paraId="09A16C7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1247</w:t>
            </w:r>
          </w:p>
        </w:tc>
        <w:tc>
          <w:tcPr>
            <w:tcW w:w="1100" w:type="pct"/>
            <w:vAlign w:val="center"/>
          </w:tcPr>
          <w:p w14:paraId="7E5629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720/720/720</w:t>
            </w:r>
          </w:p>
        </w:tc>
        <w:tc>
          <w:tcPr>
            <w:tcW w:w="2300" w:type="pct"/>
            <w:vAlign w:val="center"/>
          </w:tcPr>
          <w:p w14:paraId="52F9024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6张OLE灰框整改完成，待直接格式硬化</w:t>
            </w:r>
          </w:p>
        </w:tc>
      </w:tr>
      <w:tr w14:paraId="4942D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56077FD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第4分册</w:t>
            </w:r>
          </w:p>
        </w:tc>
        <w:tc>
          <w:tcPr>
            <w:tcW w:w="900" w:type="pct"/>
            <w:vAlign w:val="center"/>
          </w:tcPr>
          <w:p w14:paraId="6C0300B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</w:t>
            </w:r>
          </w:p>
        </w:tc>
        <w:tc>
          <w:tcPr>
            <w:tcW w:w="1100" w:type="pct"/>
            <w:vAlign w:val="center"/>
          </w:tcPr>
          <w:p w14:paraId="1B795F0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425/720/720</w:t>
            </w:r>
          </w:p>
        </w:tc>
        <w:tc>
          <w:tcPr>
            <w:tcW w:w="2300" w:type="pct"/>
            <w:vAlign w:val="center"/>
          </w:tcPr>
          <w:p w14:paraId="11217AA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周期13格式硬化完成</w:t>
            </w:r>
          </w:p>
        </w:tc>
      </w:tr>
      <w:tr w14:paraId="456D0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1F6084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第5分册</w:t>
            </w:r>
          </w:p>
        </w:tc>
        <w:tc>
          <w:tcPr>
            <w:tcW w:w="900" w:type="pct"/>
            <w:vAlign w:val="center"/>
          </w:tcPr>
          <w:p w14:paraId="4C3806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1260</w:t>
            </w:r>
          </w:p>
        </w:tc>
        <w:tc>
          <w:tcPr>
            <w:tcW w:w="1100" w:type="pct"/>
            <w:vAlign w:val="center"/>
          </w:tcPr>
          <w:p w14:paraId="642505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720/720/720</w:t>
            </w:r>
          </w:p>
        </w:tc>
        <w:tc>
          <w:tcPr>
            <w:tcW w:w="2300" w:type="pct"/>
            <w:vAlign w:val="center"/>
          </w:tcPr>
          <w:p w14:paraId="4DFE77A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内容与逐页检查完成，待直接格式硬化</w:t>
            </w:r>
          </w:p>
        </w:tc>
      </w:tr>
      <w:tr w14:paraId="02BF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45D540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第6分册</w:t>
            </w:r>
          </w:p>
        </w:tc>
        <w:tc>
          <w:tcPr>
            <w:tcW w:w="900" w:type="pct"/>
            <w:vAlign w:val="center"/>
          </w:tcPr>
          <w:p w14:paraId="7143978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1900</w:t>
            </w:r>
          </w:p>
        </w:tc>
        <w:tc>
          <w:tcPr>
            <w:tcW w:w="1100" w:type="pct"/>
            <w:vAlign w:val="center"/>
          </w:tcPr>
          <w:p w14:paraId="0AB0C57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720/720/720</w:t>
            </w:r>
          </w:p>
        </w:tc>
        <w:tc>
          <w:tcPr>
            <w:tcW w:w="2300" w:type="pct"/>
            <w:vAlign w:val="center"/>
          </w:tcPr>
          <w:p w14:paraId="3F43376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内容与逐页检查完成，待直接格式硬化</w:t>
            </w:r>
          </w:p>
        </w:tc>
      </w:tr>
      <w:tr w14:paraId="2DC0A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vAlign w:val="center"/>
          </w:tcPr>
          <w:p w14:paraId="296607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第7分册</w:t>
            </w:r>
          </w:p>
        </w:tc>
        <w:tc>
          <w:tcPr>
            <w:tcW w:w="900" w:type="pct"/>
            <w:vAlign w:val="center"/>
          </w:tcPr>
          <w:p w14:paraId="16F99C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1581</w:t>
            </w:r>
          </w:p>
        </w:tc>
        <w:tc>
          <w:tcPr>
            <w:tcW w:w="1100" w:type="pct"/>
            <w:vAlign w:val="center"/>
          </w:tcPr>
          <w:p w14:paraId="21657E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720/720/720</w:t>
            </w:r>
          </w:p>
        </w:tc>
        <w:tc>
          <w:tcPr>
            <w:tcW w:w="2300" w:type="pct"/>
            <w:vAlign w:val="center"/>
          </w:tcPr>
          <w:p w14:paraId="1DE251F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风险与分页收敛完成，待直接格式硬化</w:t>
            </w:r>
          </w:p>
        </w:tc>
      </w:tr>
    </w:tbl>
    <w:p w14:paraId="5C5E2913"/>
    <w:p w14:paraId="38D555A6">
      <w:pPr>
        <w:pStyle w:val="4"/>
      </w:pPr>
      <w:bookmarkStart w:id="9" w:name="_Toc30299"/>
      <w:r>
        <w:t>验收时的视觉硬门禁</w:t>
      </w:r>
      <w:bookmarkEnd w:id="9"/>
    </w:p>
    <w:p w14:paraId="461232D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封面、版本记录、目录、正文三分节、A4页面、页边距、页眉和页脚保持一代参考风格。</w:t>
      </w:r>
    </w:p>
    <w:p w14:paraId="0489650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不得出现文字、表格、流程图或页脚重叠，不得出现裁切、乱码、灰色画布外框或异常空白页。</w:t>
      </w:r>
    </w:p>
    <w:p w14:paraId="23FE6E0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跨页表格必须有完整重复表头，不得出现孤立标题、孤立表头、单行表尾或表格越界。</w:t>
      </w:r>
    </w:p>
    <w:p w14:paraId="33150C7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流程图连线不得穿框或压字，标签不得压线，分支和箭头末段必须保留足够净空。</w:t>
      </w:r>
    </w:p>
    <w:p w14:paraId="50F7A5C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任何实质修改都必须更新目录、整本重排，并从物理第1页重新检查到末页。</w:t>
      </w:r>
    </w:p>
    <w:p w14:paraId="47E14F55">
      <w:pPr>
        <w:pStyle w:val="2"/>
      </w:pPr>
      <w:bookmarkStart w:id="10" w:name="_Toc15304"/>
      <w:r>
        <w:t>建议验收顺序</w:t>
      </w:r>
      <w:bookmarkEnd w:id="10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671"/>
        <w:gridCol w:w="2671"/>
        <w:gridCol w:w="2671"/>
      </w:tblGrid>
      <w:tr w14:paraId="72646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00" w:type="pct"/>
            <w:vAlign w:val="center"/>
          </w:tcPr>
          <w:p w14:paraId="50EA3C3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阶段</w:t>
            </w:r>
          </w:p>
        </w:tc>
        <w:tc>
          <w:tcPr>
            <w:tcW w:w="1150" w:type="pct"/>
            <w:vAlign w:val="center"/>
          </w:tcPr>
          <w:p w14:paraId="7DB886C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建议检查对象</w:t>
            </w:r>
          </w:p>
        </w:tc>
        <w:tc>
          <w:tcPr>
            <w:tcW w:w="1850" w:type="pct"/>
            <w:vAlign w:val="center"/>
          </w:tcPr>
          <w:p w14:paraId="59067FF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重点</w:t>
            </w:r>
          </w:p>
        </w:tc>
        <w:tc>
          <w:tcPr>
            <w:tcW w:w="1500" w:type="pct"/>
            <w:vAlign w:val="center"/>
          </w:tcPr>
          <w:p w14:paraId="7EEF22B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意见记录方式</w:t>
            </w:r>
          </w:p>
        </w:tc>
      </w:tr>
      <w:tr w14:paraId="1D797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69AD28A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1</w:t>
            </w:r>
          </w:p>
        </w:tc>
        <w:tc>
          <w:tcPr>
            <w:tcW w:w="1150" w:type="pct"/>
            <w:vAlign w:val="center"/>
          </w:tcPr>
          <w:p w14:paraId="7A05AE3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本说明和总册</w:t>
            </w:r>
          </w:p>
        </w:tc>
        <w:tc>
          <w:tcPr>
            <w:tcW w:w="1850" w:type="pct"/>
            <w:vAlign w:val="center"/>
          </w:tcPr>
          <w:p w14:paraId="5860F72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范围、责任边界、证据口径</w:t>
            </w:r>
          </w:p>
        </w:tc>
        <w:tc>
          <w:tcPr>
            <w:tcW w:w="1500" w:type="pct"/>
            <w:vAlign w:val="center"/>
          </w:tcPr>
          <w:p w14:paraId="1BFFA06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文件名+物理页+问题描述</w:t>
            </w:r>
          </w:p>
        </w:tc>
      </w:tr>
      <w:tr w14:paraId="1AC5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0AB7744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2</w:t>
            </w:r>
          </w:p>
        </w:tc>
        <w:tc>
          <w:tcPr>
            <w:tcW w:w="1150" w:type="pct"/>
            <w:vAlign w:val="center"/>
          </w:tcPr>
          <w:p w14:paraId="4EBDECE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第1、2A、2B分册</w:t>
            </w:r>
          </w:p>
        </w:tc>
        <w:tc>
          <w:tcPr>
            <w:tcW w:w="1850" w:type="pct"/>
            <w:vAlign w:val="center"/>
          </w:tcPr>
          <w:p w14:paraId="526E6A9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启动调度、测量、传感器、运动和编码器</w:t>
            </w:r>
          </w:p>
        </w:tc>
        <w:tc>
          <w:tcPr>
            <w:tcW w:w="1500" w:type="pct"/>
            <w:vAlign w:val="center"/>
          </w:tcPr>
          <w:p w14:paraId="7A2604F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按设计编号或函数名定位</w:t>
            </w:r>
          </w:p>
        </w:tc>
      </w:tr>
      <w:tr w14:paraId="72E80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066562C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3</w:t>
            </w:r>
          </w:p>
        </w:tc>
        <w:tc>
          <w:tcPr>
            <w:tcW w:w="1150" w:type="pct"/>
            <w:vAlign w:val="center"/>
          </w:tcPr>
          <w:p w14:paraId="303DDF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第3、4分册</w:t>
            </w:r>
          </w:p>
        </w:tc>
        <w:tc>
          <w:tcPr>
            <w:tcW w:w="1850" w:type="pct"/>
            <w:vAlign w:val="center"/>
          </w:tcPr>
          <w:p w14:paraId="3BE2030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板间通信、数据快照、参数和FRAM</w:t>
            </w:r>
          </w:p>
        </w:tc>
        <w:tc>
          <w:tcPr>
            <w:tcW w:w="1500" w:type="pct"/>
            <w:vAlign w:val="center"/>
          </w:tcPr>
          <w:p w14:paraId="63076E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按接口、寄存器或流程图编号定位</w:t>
            </w:r>
          </w:p>
        </w:tc>
      </w:tr>
      <w:tr w14:paraId="3061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2FBF1DB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4</w:t>
            </w:r>
          </w:p>
        </w:tc>
        <w:tc>
          <w:tcPr>
            <w:tcW w:w="1150" w:type="pct"/>
            <w:vAlign w:val="center"/>
          </w:tcPr>
          <w:p w14:paraId="731C8D5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第5、6分册</w:t>
            </w:r>
          </w:p>
        </w:tc>
        <w:tc>
          <w:tcPr>
            <w:tcW w:w="1850" w:type="pct"/>
            <w:vAlign w:val="center"/>
          </w:tcPr>
          <w:p w14:paraId="7833A24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故障恢复、安全出口、AO、HART、继电器和BSP</w:t>
            </w:r>
          </w:p>
        </w:tc>
        <w:tc>
          <w:tcPr>
            <w:tcW w:w="1500" w:type="pct"/>
            <w:vAlign w:val="center"/>
          </w:tcPr>
          <w:p w14:paraId="4399EA0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按错误码或设计编号定位</w:t>
            </w:r>
          </w:p>
        </w:tc>
      </w:tr>
      <w:tr w14:paraId="40DD0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" w:type="pct"/>
            <w:vAlign w:val="center"/>
          </w:tcPr>
          <w:p w14:paraId="7509220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5</w:t>
            </w:r>
          </w:p>
        </w:tc>
        <w:tc>
          <w:tcPr>
            <w:tcW w:w="1150" w:type="pct"/>
            <w:vAlign w:val="center"/>
          </w:tcPr>
          <w:p w14:paraId="2E8CB67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第7分册</w:t>
            </w:r>
          </w:p>
        </w:tc>
        <w:tc>
          <w:tcPr>
            <w:tcW w:w="1850" w:type="pct"/>
            <w:vAlign w:val="center"/>
          </w:tcPr>
          <w:p w14:paraId="72D4590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追踪矩阵、重点风险、证据状态和未验证边界</w:t>
            </w:r>
          </w:p>
        </w:tc>
        <w:tc>
          <w:tcPr>
            <w:tcW w:w="1500" w:type="pct"/>
            <w:vAlign w:val="center"/>
          </w:tcPr>
          <w:p w14:paraId="5D4B446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按风险或追踪编号定位</w:t>
            </w:r>
          </w:p>
        </w:tc>
      </w:tr>
    </w:tbl>
    <w:p w14:paraId="691E4DAF"/>
    <w:p w14:paraId="0D2A8512">
      <w:pPr>
        <w:pStyle w:val="4"/>
      </w:pPr>
      <w:bookmarkStart w:id="11" w:name="_Toc10310"/>
      <w:r>
        <w:t>建议验收结论</w:t>
      </w:r>
      <w:bookmarkEnd w:id="11"/>
    </w:p>
    <w:p w14:paraId="3FB8A20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通过：同意以本冻结包作为下一阶段继续编制的中期基线。</w:t>
      </w:r>
    </w:p>
    <w:p w14:paraId="0B9AC7D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有条件通过：总体结构可接受，按验收意见清单修订指定分册后继续。</w:t>
      </w:r>
    </w:p>
    <w:p w14:paraId="3E984FA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退回修改：结构、内容或版式存在系统性问题，应先修订验收包再继续后续分册。</w:t>
      </w:r>
    </w:p>
    <w:p w14:paraId="045D0842">
      <w:pPr>
        <w:pStyle w:val="2"/>
      </w:pPr>
      <w:bookmarkStart w:id="12" w:name="_Toc12843"/>
      <w:r>
        <w:t>后续工作边界</w:t>
      </w:r>
      <w:bookmarkEnd w:id="12"/>
    </w:p>
    <w:p w14:paraId="3502652E">
      <w:pPr>
        <w:jc w:val="both"/>
      </w:pPr>
      <w:r>
        <w:rPr>
          <w:rFonts w:ascii="Times New Roman" w:hAnsi="Times New Roman" w:eastAsia="华文楷体"/>
          <w:b w:val="0"/>
          <w:sz w:val="21"/>
        </w:rPr>
        <w:t>收到中期验收意见后，先按意见修订对应源分册，再决定是否恢复周期13格式硬化。如恢复，当前建议顺序为第3分册、第5分册、第7分册、第2A分册、第6分册；全部完成后再进入批准需求映射、跨卷风险关闭和更高层级证据补齐。</w:t>
      </w:r>
    </w:p>
    <w:p w14:paraId="4CD561F8">
      <w:pPr>
        <w:pStyle w:val="4"/>
      </w:pPr>
      <w:bookmarkStart w:id="13" w:name="_Toc21839"/>
      <w:r>
        <w:t>证据边界</w:t>
      </w:r>
      <w:bookmarkEnd w:id="13"/>
    </w:p>
    <w:p w14:paraId="0E3F9101">
      <w:pPr>
        <w:jc w:val="both"/>
      </w:pPr>
      <w:r>
        <w:rPr>
          <w:rFonts w:ascii="Times New Roman" w:hAnsi="Times New Roman" w:eastAsia="华文楷体"/>
          <w:b w:val="0"/>
          <w:sz w:val="21"/>
        </w:rPr>
        <w:t>本中期包可以证明指定Word文件的身份、结构、静态内容和已有版式检查状态。它不证明真实RS485、UART/DMA、FRAM掉电、编码器、电机、传感器、4-20 mA、HART、继电器、目标板、台架、现场、故障注入或SIL认证通过。</w:t>
      </w:r>
    </w:p>
    <w:p w14:paraId="3E9F031B">
      <w:pPr>
        <w:pStyle w:val="2"/>
        <w:pageBreakBefore/>
      </w:pPr>
      <w:bookmarkStart w:id="14" w:name="_Toc23707"/>
      <w:r>
        <w:t>中期验收记录</w:t>
      </w:r>
      <w:bookmarkEnd w:id="1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33"/>
      </w:tblGrid>
      <w:tr w14:paraId="0DBE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233" w:type="dxa"/>
            <w:vAlign w:val="center"/>
          </w:tcPr>
          <w:p w14:paraId="5DD5CD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5233" w:type="dxa"/>
            <w:vAlign w:val="center"/>
          </w:tcPr>
          <w:p w14:paraId="15A4BE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填写内容</w:t>
            </w:r>
          </w:p>
        </w:tc>
      </w:tr>
      <w:tr w14:paraId="01BE2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33" w:type="dxa"/>
            <w:vAlign w:val="center"/>
          </w:tcPr>
          <w:p w14:paraId="70A8F4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验收人</w:t>
            </w:r>
          </w:p>
        </w:tc>
        <w:tc>
          <w:tcPr>
            <w:tcW w:w="5233" w:type="dxa"/>
            <w:vAlign w:val="center"/>
          </w:tcPr>
          <w:p w14:paraId="43A78E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</w:tr>
      <w:tr w14:paraId="01F35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33" w:type="dxa"/>
            <w:vAlign w:val="center"/>
          </w:tcPr>
          <w:p w14:paraId="0CE09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验收日期</w:t>
            </w:r>
          </w:p>
        </w:tc>
        <w:tc>
          <w:tcPr>
            <w:tcW w:w="5233" w:type="dxa"/>
            <w:vAlign w:val="center"/>
          </w:tcPr>
          <w:p w14:paraId="37A2DD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</w:tr>
      <w:tr w14:paraId="2C409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33" w:type="dxa"/>
            <w:vAlign w:val="center"/>
          </w:tcPr>
          <w:p w14:paraId="7E6958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验收结论</w:t>
            </w:r>
          </w:p>
        </w:tc>
        <w:tc>
          <w:tcPr>
            <w:tcW w:w="5233" w:type="dxa"/>
            <w:vAlign w:val="center"/>
          </w:tcPr>
          <w:p w14:paraId="17980E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 / 有条件通过 / 退回修改</w:t>
            </w:r>
          </w:p>
        </w:tc>
      </w:tr>
      <w:tr w14:paraId="1097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33" w:type="dxa"/>
            <w:vAlign w:val="center"/>
          </w:tcPr>
          <w:p w14:paraId="3F5E0A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总体意见</w:t>
            </w:r>
          </w:p>
        </w:tc>
        <w:tc>
          <w:tcPr>
            <w:tcW w:w="5233" w:type="dxa"/>
            <w:vAlign w:val="center"/>
          </w:tcPr>
          <w:p w14:paraId="47EBC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</w:tr>
      <w:tr w14:paraId="00A2B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33" w:type="dxa"/>
            <w:vAlign w:val="center"/>
          </w:tcPr>
          <w:p w14:paraId="2C2474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优先修改分册</w:t>
            </w:r>
          </w:p>
        </w:tc>
        <w:tc>
          <w:tcPr>
            <w:tcW w:w="5233" w:type="dxa"/>
            <w:vAlign w:val="center"/>
          </w:tcPr>
          <w:p w14:paraId="163264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</w:tr>
      <w:tr w14:paraId="4EAD3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33" w:type="dxa"/>
            <w:vAlign w:val="center"/>
          </w:tcPr>
          <w:p w14:paraId="020C6C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签字或确认记录</w:t>
            </w:r>
          </w:p>
        </w:tc>
        <w:tc>
          <w:tcPr>
            <w:tcW w:w="5233" w:type="dxa"/>
            <w:vAlign w:val="center"/>
          </w:tcPr>
          <w:p w14:paraId="56ACB8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</w:tr>
    </w:tbl>
    <w:p w14:paraId="483277AF"/>
    <w:sectPr>
      <w:footerReference r:id="rId10" w:type="firs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8E455">
    <w:pPr>
      <w:pStyle w:val="14"/>
      <w:pBdr>
        <w:top w:val="single" w:color="auto" w:sz="4" w:space="1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8EC92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9A7EC">
    <w:pPr>
      <w:pStyle w:val="14"/>
      <w:pBdr>
        <w:top w:val="single" w:color="auto" w:sz="4" w:space="1"/>
      </w:pBd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 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B76B8">
    <w:pPr>
      <w:pStyle w:val="1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 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3661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CD5BD">
    <w:pPr>
      <w:pStyle w:val="15"/>
      <w:jc w:val="right"/>
    </w:pPr>
    <w:r>
      <w:t>DSM系列储罐在线自动计量仪CPU2软件详细设计</w:t>
    </w:r>
    <w:r>
      <w:rPr>
        <w:sz w:val="20"/>
      </w:rPr>
      <w:t xml:space="preserve">   V0.1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01199">
    <w:pPr>
      <w:pStyle w:val="15"/>
      <w:jc w:val="right"/>
    </w:pPr>
    <w:r>
      <w:t>DSM系列储罐在线自动计量仪CPU2软件详细设计</w:t>
    </w:r>
    <w:r>
      <w:rPr>
        <w:sz w:val="20"/>
      </w:rPr>
      <w:t xml:space="preserve"> 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5F6C71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源码静态证据不等于构建、硬件、台架、现场或SIL认证验证。</dc:description>
  <cp:lastModifiedBy>admin</cp:lastModifiedBy>
  <cp:lastPrinted>2022-01-14T19:23:00Z</cp:lastPrinted>
  <dcterms:modified xsi:type="dcterms:W3CDTF">2026-08-03T08:21:24Z</dcterms:modified>
  <dc:subject>CPU2软件详细设计中期验收包V0.1</dc:subject>
  <dc:title>CPU2软件详细设计中期验收说明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