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715BE">
      <w:pPr>
        <w:pStyle w:val="30"/>
        <w:rPr>
          <w:rFonts w:hint="eastAsia" w:cs="Times New Roman"/>
          <w:b/>
          <w:bCs/>
          <w:color w:val="auto"/>
          <w:lang w:val="en-US" w:eastAsia="zh-CN"/>
        </w:rPr>
      </w:pPr>
    </w:p>
    <w:p w14:paraId="50EF33DA">
      <w:pPr>
        <w:pStyle w:val="30"/>
        <w:rPr>
          <w:rFonts w:hint="eastAsia" w:cs="Times New Roman"/>
          <w:b/>
          <w:bCs/>
          <w:color w:val="auto"/>
          <w:lang w:val="en-US" w:eastAsia="zh-CN"/>
        </w:rPr>
      </w:pPr>
    </w:p>
    <w:p w14:paraId="0EBCD937">
      <w:pPr>
        <w:pStyle w:val="30"/>
        <w:rPr>
          <w:rFonts w:hint="eastAsia" w:cs="Times New Roman"/>
          <w:b/>
          <w:bCs/>
          <w:color w:val="auto"/>
          <w:lang w:val="en-US" w:eastAsia="zh-CN"/>
        </w:rPr>
      </w:pPr>
    </w:p>
    <w:p w14:paraId="5BACB809">
      <w:pPr>
        <w:pStyle w:val="30"/>
        <w:rPr>
          <w:rFonts w:hint="eastAsia" w:cs="Times New Roman"/>
          <w:b/>
          <w:bCs/>
          <w:color w:val="auto"/>
          <w:lang w:val="en-US" w:eastAsia="zh-CN"/>
        </w:rPr>
      </w:pPr>
      <w:r>
        <w:rPr>
          <w:color w:val="auto"/>
        </w:rPr>
        <w:t>二代储罐在线自动计量仪</w:t>
      </w:r>
    </w:p>
    <w:p w14:paraId="0CAFDC5F">
      <w:pPr>
        <w:pStyle w:val="30"/>
        <w:rPr>
          <w:rFonts w:hint="default" w:ascii="Times New Roman" w:hAnsi="Times New Roman" w:eastAsia="宋体" w:cs="Times New Roman"/>
          <w:b/>
          <w:bCs/>
          <w:color w:val="auto"/>
          <w:lang w:val="en-US" w:eastAsia="zh-CN"/>
        </w:rPr>
      </w:pPr>
      <w:r>
        <w:rPr>
          <w:color w:val="auto"/>
        </w:rPr>
        <w:t>软件架构规格书</w:t>
      </w:r>
    </w:p>
    <w:p w14:paraId="614D467F">
      <w:pPr>
        <w:rPr>
          <w:rFonts w:hint="eastAsia" w:ascii="华文楷体" w:hAnsi="华文楷体" w:eastAsia="华文楷体" w:cs="华文楷体"/>
          <w:color w:val="auto"/>
        </w:rPr>
      </w:pPr>
    </w:p>
    <w:p w14:paraId="559E34FF">
      <w:pPr>
        <w:rPr>
          <w:rFonts w:hint="eastAsia" w:ascii="华文楷体" w:hAnsi="华文楷体" w:eastAsia="华文楷体" w:cs="华文楷体"/>
          <w:color w:val="auto"/>
        </w:rPr>
      </w:pPr>
    </w:p>
    <w:p w14:paraId="7597947C">
      <w:pPr>
        <w:rPr>
          <w:rFonts w:hint="eastAsia" w:ascii="华文楷体" w:hAnsi="华文楷体" w:eastAsia="华文楷体" w:cs="华文楷体"/>
          <w:color w:val="auto"/>
        </w:rPr>
      </w:pPr>
    </w:p>
    <w:p w14:paraId="65DE9970">
      <w:pPr>
        <w:rPr>
          <w:rFonts w:hint="eastAsia" w:ascii="华文楷体" w:hAnsi="华文楷体" w:eastAsia="华文楷体" w:cs="华文楷体"/>
          <w:color w:val="auto"/>
        </w:rPr>
      </w:pPr>
    </w:p>
    <w:p w14:paraId="4524EAD6">
      <w:pPr>
        <w:rPr>
          <w:rFonts w:hint="eastAsia" w:ascii="华文楷体" w:hAnsi="华文楷体" w:eastAsia="华文楷体" w:cs="华文楷体"/>
          <w:color w:val="auto"/>
        </w:rPr>
      </w:pPr>
    </w:p>
    <w:p w14:paraId="23237E65">
      <w:pPr>
        <w:rPr>
          <w:rFonts w:hint="eastAsia" w:ascii="华文楷体" w:hAnsi="华文楷体" w:eastAsia="华文楷体" w:cs="华文楷体"/>
          <w:color w:val="auto"/>
        </w:rPr>
      </w:pPr>
    </w:p>
    <w:p w14:paraId="3452196F">
      <w:pPr>
        <w:jc w:val="center"/>
        <w:rPr>
          <w:rFonts w:hint="eastAsia" w:ascii="华文楷体" w:hAnsi="华文楷体" w:eastAsia="华文楷体" w:cs="华文楷体"/>
          <w:color w:val="auto"/>
        </w:rPr>
      </w:pPr>
      <w:r>
        <w:rPr>
          <w:rFonts w:hint="eastAsia" w:ascii="华文楷体" w:hAnsi="华文楷体" w:eastAsia="华文楷体" w:cs="华文楷体"/>
          <w:color w:val="auto"/>
          <w:lang w:val="en-US" w:eastAsia="zh-CN"/>
        </w:rPr>
        <w:t>青岛澳邦量器有限责任</w:t>
      </w:r>
      <w:r>
        <w:rPr>
          <w:rFonts w:hint="eastAsia" w:ascii="华文楷体" w:hAnsi="华文楷体" w:eastAsia="华文楷体" w:cs="华文楷体"/>
          <w:color w:val="auto"/>
        </w:rPr>
        <w:t>公司</w:t>
      </w:r>
    </w:p>
    <w:p w14:paraId="0C1BE26F">
      <w:pPr>
        <w:rPr>
          <w:rFonts w:hint="eastAsia" w:ascii="华文楷体" w:hAnsi="华文楷体" w:eastAsia="华文楷体" w:cs="华文楷体"/>
          <w:color w:val="auto"/>
        </w:rPr>
      </w:pPr>
    </w:p>
    <w:p w14:paraId="441EEE64">
      <w:pPr>
        <w:rPr>
          <w:rFonts w:hint="eastAsia" w:ascii="华文楷体" w:hAnsi="华文楷体" w:eastAsia="华文楷体" w:cs="华文楷体"/>
          <w:color w:val="auto"/>
        </w:rPr>
      </w:pPr>
    </w:p>
    <w:p w14:paraId="67806C93">
      <w:pPr>
        <w:rPr>
          <w:rFonts w:hint="eastAsia" w:ascii="华文楷体" w:hAnsi="华文楷体" w:eastAsia="华文楷体" w:cs="华文楷体"/>
          <w:color w:val="auto"/>
        </w:rPr>
      </w:pPr>
    </w:p>
    <w:p w14:paraId="4C652329">
      <w:pPr>
        <w:rPr>
          <w:rFonts w:hint="eastAsia" w:ascii="华文楷体" w:hAnsi="华文楷体" w:eastAsia="华文楷体" w:cs="华文楷体"/>
          <w:color w:val="auto"/>
        </w:rPr>
      </w:pPr>
    </w:p>
    <w:p w14:paraId="0DB5A856">
      <w:pPr>
        <w:rPr>
          <w:rFonts w:hint="eastAsia" w:ascii="华文楷体" w:hAnsi="华文楷体" w:eastAsia="华文楷体" w:cs="华文楷体"/>
          <w:color w:val="auto"/>
        </w:rPr>
      </w:pPr>
    </w:p>
    <w:p w14:paraId="163298C6">
      <w:pPr>
        <w:rPr>
          <w:rFonts w:hint="eastAsia" w:ascii="华文楷体" w:hAnsi="华文楷体" w:eastAsia="华文楷体" w:cs="华文楷体"/>
          <w:color w:val="auto"/>
        </w:rPr>
      </w:pPr>
    </w:p>
    <w:p w14:paraId="3D90E36E">
      <w:pPr>
        <w:rPr>
          <w:rFonts w:hint="eastAsia" w:ascii="华文楷体" w:hAnsi="华文楷体" w:eastAsia="华文楷体" w:cs="华文楷体"/>
          <w:color w:val="auto"/>
        </w:rPr>
      </w:pPr>
    </w:p>
    <w:p w14:paraId="38B33822">
      <w:pPr>
        <w:rPr>
          <w:rFonts w:hint="eastAsia" w:ascii="华文楷体" w:hAnsi="华文楷体" w:eastAsia="华文楷体" w:cs="华文楷体"/>
          <w:color w:val="auto"/>
        </w:rPr>
      </w:pPr>
    </w:p>
    <w:p w14:paraId="35C4736F">
      <w:pPr>
        <w:rPr>
          <w:rFonts w:hint="eastAsia" w:ascii="华文楷体" w:hAnsi="华文楷体" w:eastAsia="华文楷体" w:cs="华文楷体"/>
          <w:color w:val="auto"/>
        </w:rPr>
      </w:pPr>
    </w:p>
    <w:p w14:paraId="59779F2C">
      <w:pPr>
        <w:rPr>
          <w:rFonts w:hint="eastAsia" w:ascii="华文楷体" w:hAnsi="华文楷体" w:eastAsia="华文楷体" w:cs="华文楷体"/>
          <w:color w:val="auto"/>
        </w:rPr>
      </w:pPr>
    </w:p>
    <w:p w14:paraId="3ACAD052">
      <w:pPr>
        <w:rPr>
          <w:rFonts w:hint="eastAsia" w:ascii="华文楷体" w:hAnsi="华文楷体" w:eastAsia="华文楷体" w:cs="华文楷体"/>
          <w:color w:val="auto"/>
        </w:rPr>
      </w:pPr>
    </w:p>
    <w:p w14:paraId="6A410957">
      <w:pPr>
        <w:rPr>
          <w:rFonts w:hint="eastAsia" w:ascii="华文楷体" w:hAnsi="华文楷体" w:eastAsia="华文楷体" w:cs="华文楷体"/>
          <w:color w:val="auto"/>
        </w:rPr>
      </w:pPr>
    </w:p>
    <w:p w14:paraId="431614B0">
      <w:pPr>
        <w:rPr>
          <w:rFonts w:hint="eastAsia" w:ascii="华文楷体" w:hAnsi="华文楷体" w:eastAsia="华文楷体" w:cs="华文楷体"/>
          <w:color w:val="auto"/>
        </w:rPr>
      </w:pPr>
    </w:p>
    <w:p w14:paraId="53E0492A">
      <w:pPr>
        <w:rPr>
          <w:rFonts w:hint="eastAsia" w:ascii="华文楷体" w:hAnsi="华文楷体" w:eastAsia="华文楷体" w:cs="华文楷体"/>
          <w:color w:val="auto"/>
        </w:rPr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5615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top"/>
          </w:tcPr>
          <w:p w14:paraId="0D3DDCDD">
            <w:pPr>
              <w:rPr>
                <w:rFonts w:hint="eastAsia" w:ascii="华文楷体" w:hAnsi="华文楷体" w:eastAsia="华文楷体" w:cs="华文楷体"/>
                <w:b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auto"/>
                <w:sz w:val="24"/>
              </w:rPr>
              <w:t>文档信息</w:t>
            </w:r>
          </w:p>
          <w:p w14:paraId="3C69D2D3">
            <w:pPr>
              <w:rPr>
                <w:color w:val="auto"/>
              </w:rPr>
            </w:pPr>
          </w:p>
        </w:tc>
      </w:tr>
      <w:tr w14:paraId="5D194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51579E7">
            <w:pPr>
              <w:jc w:val="center"/>
              <w:rPr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4C57AB0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二代储罐在线自动计量仪软件架构规格书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1818942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021A7E3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2026-08-24</w:t>
            </w:r>
          </w:p>
        </w:tc>
      </w:tr>
      <w:tr w14:paraId="536FE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58C4201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4AD30831">
            <w:pPr>
              <w:jc w:val="center"/>
              <w:rPr>
                <w:color w:val="auto"/>
              </w:rPr>
            </w:pP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023420B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9A35DEB">
            <w:pPr>
              <w:jc w:val="center"/>
              <w:rPr>
                <w:color w:val="auto"/>
              </w:rPr>
            </w:pPr>
          </w:p>
        </w:tc>
      </w:tr>
      <w:tr w14:paraId="6AFD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4AD5D58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50A402E2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ER02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93830B5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1B7D8B3D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V0.3</w:t>
            </w:r>
          </w:p>
        </w:tc>
      </w:tr>
    </w:tbl>
    <w:p w14:paraId="3FAEFE18">
      <w:pPr>
        <w:rPr>
          <w:rFonts w:hint="eastAsia" w:ascii="华文楷体" w:hAnsi="华文楷体" w:eastAsia="华文楷体" w:cs="华文楷体"/>
          <w:color w:val="auto"/>
        </w:rPr>
      </w:pPr>
    </w:p>
    <w:p w14:paraId="61E1B01B">
      <w:pPr>
        <w:keepNext w:val="0"/>
        <w:pageBreakBefore w:val="0"/>
        <w:spacing w:before="0" w:after="0" w:line="20" w:lineRule="exact"/>
        <w:rPr>
          <w:rFonts w:hint="eastAsia" w:ascii="华文楷体" w:hAnsi="华文楷体" w:eastAsia="华文楷体" w:cs="华文楷体"/>
          <w:color w:val="auto"/>
          <w:sz w:val="2"/>
        </w:rPr>
        <w:sectPr>
          <w:headerReference r:id="rId4" w:type="first"/>
          <w:headerReference r:id="rId3" w:type="default"/>
          <w:footerReference r:id="rId5" w:type="default"/>
          <w:footerReference r:id="rId6" w:type="even"/>
          <w:pgSz w:w="11906" w:h="16838"/>
          <w:pgMar w:top="1440" w:right="1797" w:bottom="1440" w:left="1797" w:header="454" w:footer="992" w:gutter="0"/>
          <w:pgNumType w:fmt="decimal"/>
          <w:cols w:space="425" w:num="1"/>
          <w:titlePg/>
          <w:docGrid w:type="lines" w:linePitch="312" w:charSpace="0"/>
        </w:sectPr>
      </w:pPr>
    </w:p>
    <w:tbl>
      <w:tblPr>
        <w:tblStyle w:val="21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65"/>
        <w:gridCol w:w="5171"/>
        <w:gridCol w:w="1481"/>
        <w:gridCol w:w="1481"/>
        <w:gridCol w:w="1324"/>
      </w:tblGrid>
      <w:tr w14:paraId="3F23B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522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2960C588">
            <w:pPr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版本记录</w:t>
            </w:r>
          </w:p>
        </w:tc>
      </w:tr>
      <w:tr w14:paraId="44832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48CA6C">
            <w:pPr>
              <w:jc w:val="center"/>
              <w:rPr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版本号</w:t>
            </w:r>
          </w:p>
        </w:tc>
        <w:tc>
          <w:tcPr>
            <w:tcW w:w="5171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768B940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摘要</w:t>
            </w:r>
          </w:p>
        </w:tc>
        <w:tc>
          <w:tcPr>
            <w:tcW w:w="1481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F344E0A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作者</w:t>
            </w:r>
          </w:p>
        </w:tc>
        <w:tc>
          <w:tcPr>
            <w:tcW w:w="148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E05B218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审批</w:t>
            </w:r>
          </w:p>
        </w:tc>
        <w:tc>
          <w:tcPr>
            <w:tcW w:w="1324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3866D4D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日期</w:t>
            </w:r>
          </w:p>
        </w:tc>
      </w:tr>
      <w:tr w14:paraId="1A24C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BCC596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lang w:val="en-US" w:eastAsia="zh-CN"/>
              </w:rPr>
              <w:t>V1.0</w:t>
            </w: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AA19A93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lang w:val="en-US" w:eastAsia="zh-CN"/>
              </w:rPr>
              <w:t>创建并编写</w:t>
            </w: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3004BC9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lang w:val="en-US" w:eastAsia="zh-CN"/>
              </w:rPr>
              <w:t>段学斌</w:t>
            </w: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050C9AC">
            <w:pPr>
              <w:jc w:val="center"/>
              <w:rPr>
                <w:color w:val="auto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lang w:val="en-US" w:eastAsia="zh-CN"/>
              </w:rPr>
              <w:t>崔桂亮</w:t>
            </w: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A96ADDE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2026.08.24</w:t>
            </w:r>
          </w:p>
        </w:tc>
      </w:tr>
      <w:tr w14:paraId="6BB0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0ED972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8C12598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837C31A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77B5677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F93C39C">
            <w:pPr>
              <w:rPr>
                <w:color w:val="auto"/>
              </w:rPr>
            </w:pPr>
          </w:p>
        </w:tc>
      </w:tr>
      <w:tr w14:paraId="3BB3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A31FAD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0DD4028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EB200C8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09FB2C9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22AF083">
            <w:pPr>
              <w:rPr>
                <w:color w:val="auto"/>
              </w:rPr>
            </w:pPr>
          </w:p>
        </w:tc>
      </w:tr>
      <w:tr w14:paraId="1C1D1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C541AF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B9D5D17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6E90EB7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404FF0D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4200B95">
            <w:pPr>
              <w:rPr>
                <w:color w:val="auto"/>
              </w:rPr>
            </w:pPr>
          </w:p>
        </w:tc>
      </w:tr>
      <w:tr w14:paraId="5B1E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58C109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85E0703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617E50F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8C155E8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EB8EE7A">
            <w:pPr>
              <w:rPr>
                <w:color w:val="auto"/>
              </w:rPr>
            </w:pPr>
          </w:p>
        </w:tc>
      </w:tr>
      <w:tr w14:paraId="3070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DE2465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4104B2E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DFE6847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28F90AE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97B488F">
            <w:pPr>
              <w:rPr>
                <w:color w:val="auto"/>
              </w:rPr>
            </w:pPr>
          </w:p>
        </w:tc>
      </w:tr>
      <w:tr w14:paraId="419D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316C23A4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6DF233A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FB89C55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2591AE65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1A8DB535">
            <w:pPr>
              <w:rPr>
                <w:color w:val="auto"/>
              </w:rPr>
            </w:pPr>
          </w:p>
        </w:tc>
      </w:tr>
    </w:tbl>
    <w:p w14:paraId="5870A995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34480DC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0FE75E2C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35796D92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11DEE66B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2B07E20C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015401D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29FC436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DC5F605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0527B70A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19D5C0F1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1F5B5820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24511B6C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4906BE5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2E2E14FF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06183959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0467F4FA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2A46B26F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31FEF45B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0A20AE7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3E68C78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94E3A0B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EECC57C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1DC0CC11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948CA49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208B1D0A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503C699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FA9D163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738860BD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11C5F240">
      <w:pPr>
        <w:pStyle w:val="3"/>
        <w:ind w:left="0" w:leftChars="0" w:firstLine="0" w:firstLineChars="0"/>
        <w:rPr>
          <w:rFonts w:ascii="宋体" w:cs="宋体" w:hAnsiTheme="minorHAnsi"/>
          <w:color w:val="auto"/>
          <w:kern w:val="0"/>
          <w:szCs w:val="21"/>
        </w:rPr>
      </w:pPr>
    </w:p>
    <w:p w14:paraId="7031EDE4">
      <w:pPr>
        <w:pStyle w:val="3"/>
        <w:ind w:left="0" w:leftChars="0" w:firstLine="0" w:firstLineChars="0"/>
        <w:rPr>
          <w:rFonts w:ascii="宋体" w:cs="宋体" w:hAnsiTheme="minorHAnsi"/>
          <w:color w:val="auto"/>
          <w:kern w:val="0"/>
          <w:szCs w:val="21"/>
        </w:rPr>
      </w:pPr>
    </w:p>
    <w:p w14:paraId="68228C65">
      <w:pPr>
        <w:pStyle w:val="3"/>
        <w:ind w:left="0" w:leftChars="0" w:firstLine="0" w:firstLineChars="0"/>
        <w:rPr>
          <w:rFonts w:ascii="宋体" w:cs="宋体" w:hAnsiTheme="minorHAnsi"/>
          <w:color w:val="auto"/>
          <w:kern w:val="0"/>
          <w:szCs w:val="21"/>
        </w:rPr>
      </w:pPr>
    </w:p>
    <w:sdt>
      <w:sdtPr>
        <w:rPr>
          <w:rFonts w:hint="eastAsia" w:ascii="华文楷体" w:hAnsi="华文楷体" w:eastAsia="华文楷体" w:cs="华文楷体"/>
          <w:color w:val="auto"/>
          <w:kern w:val="2"/>
          <w:sz w:val="21"/>
          <w:szCs w:val="24"/>
          <w:lang w:val="en-US" w:eastAsia="zh-CN" w:bidi="ar-SA"/>
        </w:rPr>
        <w:id w:val="147471422"/>
        <w15:color w:val="DBDBDB"/>
        <w:docPartObj>
          <w:docPartGallery w:val="Table of Contents"/>
          <w:docPartUnique/>
        </w:docPartObj>
      </w:sdtPr>
      <w:sdtEndPr>
        <w:rPr>
          <w:rFonts w:hint="eastAsia" w:ascii="华文楷体" w:hAnsi="华文楷体" w:eastAsia="华文楷体" w:cs="华文楷体"/>
          <w:color w:val="auto"/>
          <w:kern w:val="2"/>
          <w:sz w:val="21"/>
          <w:szCs w:val="24"/>
          <w:lang w:val="en-US" w:eastAsia="zh-CN" w:bidi="ar-SA"/>
        </w:rPr>
      </w:sdtEndPr>
      <w:sdtContent>
        <w:p w14:paraId="4FF507A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华文楷体" w:hAnsi="华文楷体" w:eastAsia="华文楷体" w:cs="华文楷体"/>
              <w:color w:val="auto"/>
              <w:sz w:val="36"/>
              <w:szCs w:val="44"/>
            </w:rPr>
          </w:pPr>
          <w:r>
            <w:rPr>
              <w:rFonts w:hint="eastAsia" w:ascii="华文楷体" w:hAnsi="华文楷体" w:eastAsia="华文楷体" w:cs="华文楷体"/>
              <w:color w:val="auto"/>
              <w:sz w:val="36"/>
              <w:szCs w:val="44"/>
            </w:rPr>
            <w:t>目录</w:t>
          </w:r>
        </w:p>
        <w:p w14:paraId="0C45CCC1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TOC \o "1-3" \h \u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_Toc29218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1. </w:t>
          </w:r>
          <w:r>
            <w:rPr>
              <w:color w:val="auto"/>
            </w:rPr>
            <w:t>概述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_Toc29218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8EF4EDD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_Toc13745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1.1 </w:t>
          </w:r>
          <w:r>
            <w:rPr>
              <w:color w:val="auto"/>
            </w:rPr>
            <w:t>编写目标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_Toc13745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0C37703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_Toc15984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1.2 </w:t>
          </w:r>
          <w:r>
            <w:rPr>
              <w:color w:val="auto"/>
            </w:rPr>
            <w:t>适用范围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_Toc15984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9F37560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_Toc286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1.3 </w:t>
          </w:r>
          <w:r>
            <w:rPr>
              <w:color w:val="auto"/>
            </w:rPr>
            <w:t>术语和缩略语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_Toc286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4083D75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_Toc23744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1.4 </w:t>
          </w:r>
          <w:r>
            <w:rPr>
              <w:color w:val="auto"/>
            </w:rPr>
            <w:t>相关文件清单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_Toc23744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B91BB21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_Toc28550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2. </w:t>
          </w:r>
          <w:r>
            <w:rPr>
              <w:color w:val="auto"/>
            </w:rPr>
            <w:t>软件整体架构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_Toc28550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AA73276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_Toc21540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3. </w:t>
          </w:r>
          <w:r>
            <w:rPr>
              <w:color w:val="auto"/>
            </w:rPr>
            <w:t>CPU1 的软件架构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_Toc21540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8DF83CF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_Toc26027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3.1 </w:t>
          </w:r>
          <w:r>
            <w:rPr>
              <w:color w:val="auto"/>
            </w:rPr>
            <w:t>静态结构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_Toc26027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E9CDCC7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_Toc28771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3.1.1 </w:t>
          </w:r>
          <w:r>
            <w:rPr>
              <w:color w:val="auto"/>
            </w:rPr>
            <w:t>软件架构图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_Toc28771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DA129FE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_Toc23040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3.1.2 </w:t>
          </w:r>
          <w:r>
            <w:rPr>
              <w:color w:val="auto"/>
            </w:rPr>
            <w:t>模块关系图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_Toc23040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8ADF7F3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_Toc26826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3.1.3 </w:t>
          </w:r>
          <w:r>
            <w:rPr>
              <w:color w:val="auto"/>
            </w:rPr>
            <w:t>外部接口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_Toc26826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8B91663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_Toc24253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3.1.4 </w:t>
          </w:r>
          <w:r>
            <w:rPr>
              <w:color w:val="auto"/>
            </w:rPr>
            <w:t>软件功能关系定义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_Toc24253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EE2DC46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_Toc18017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3.2 </w:t>
          </w:r>
          <w:r>
            <w:rPr>
              <w:color w:val="auto"/>
            </w:rPr>
            <w:t>状态与转移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_Toc18017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203896C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_Toc25008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3.2.1 </w:t>
          </w:r>
          <w:r>
            <w:rPr>
              <w:color w:val="auto"/>
            </w:rPr>
            <w:t>状态分析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_Toc25008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91BF452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_Toc19711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3.2.2 </w:t>
          </w:r>
          <w:r>
            <w:rPr>
              <w:color w:val="auto"/>
            </w:rPr>
            <w:t>最大任务量分析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_Toc19711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47DF0D1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_Toc30607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3.2.3 </w:t>
          </w:r>
          <w:r>
            <w:rPr>
              <w:color w:val="auto"/>
            </w:rPr>
            <w:t>状态转移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_Toc30607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E34D122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_Toc1493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4. </w:t>
          </w:r>
          <w:r>
            <w:rPr>
              <w:color w:val="auto"/>
            </w:rPr>
            <w:t>CPU2 软件架构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_Toc1493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5A50356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_Toc30417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4.1 </w:t>
          </w:r>
          <w:r>
            <w:rPr>
              <w:color w:val="auto"/>
            </w:rPr>
            <w:t>静态结构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_Toc30417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768947B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_Toc16224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4.1.1 </w:t>
          </w:r>
          <w:r>
            <w:rPr>
              <w:color w:val="auto"/>
            </w:rPr>
            <w:t>软件架构图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_Toc16224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9F3FB57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_Toc1626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4.1.2 </w:t>
          </w:r>
          <w:r>
            <w:rPr>
              <w:color w:val="auto"/>
            </w:rPr>
            <w:t>模块关系图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_Toc1626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3EF1028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_Toc13799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4.1.3 </w:t>
          </w:r>
          <w:r>
            <w:rPr>
              <w:color w:val="auto"/>
            </w:rPr>
            <w:t>外部接口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_Toc13799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C8BC85B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_Toc9854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4.1.4 </w:t>
          </w:r>
          <w:r>
            <w:rPr>
              <w:color w:val="auto"/>
            </w:rPr>
            <w:t>软件功能关系定义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_Toc9854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AC87FA7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_Toc28912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4.2 </w:t>
          </w:r>
          <w:r>
            <w:rPr>
              <w:color w:val="auto"/>
            </w:rPr>
            <w:t>状态与转移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_Toc28912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6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AD92DC2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_Toc12071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4.2.1 </w:t>
          </w:r>
          <w:r>
            <w:rPr>
              <w:color w:val="auto"/>
            </w:rPr>
            <w:t>状态定义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_Toc12071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6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403C5280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_Toc1358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4.2.2 </w:t>
          </w:r>
          <w:r>
            <w:rPr>
              <w:color w:val="auto"/>
            </w:rPr>
            <w:t>最大任务量分析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_Toc1358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6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D205563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_Toc21539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4.2.3 </w:t>
          </w:r>
          <w:r>
            <w:rPr>
              <w:color w:val="auto"/>
            </w:rPr>
            <w:t>状态与功能关系表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_Toc21539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7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4152E57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_Toc10426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4.2.4 </w:t>
          </w:r>
          <w:r>
            <w:rPr>
              <w:rFonts w:hint="eastAsia"/>
              <w:color w:val="auto"/>
              <w:lang w:eastAsia="zh-CN"/>
            </w:rPr>
            <w:t>状态转换描述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_Toc10426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7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40AE3A95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_Toc2274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5. </w:t>
          </w:r>
          <w:r>
            <w:rPr>
              <w:color w:val="auto"/>
            </w:rPr>
            <w:t>CPU3 的软件架构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_Toc2274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8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2D717EC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_Toc11027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5.1 </w:t>
          </w:r>
          <w:r>
            <w:rPr>
              <w:color w:val="auto"/>
            </w:rPr>
            <w:t>静态结构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_Toc11027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9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F3C8465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_Toc10034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5.1.1 </w:t>
          </w:r>
          <w:r>
            <w:rPr>
              <w:color w:val="auto"/>
            </w:rPr>
            <w:t>软件架构图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_Toc10034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9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D394C7E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_Toc19127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5.1.2 </w:t>
          </w:r>
          <w:r>
            <w:rPr>
              <w:color w:val="auto"/>
            </w:rPr>
            <w:t>模块关系图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_Toc19127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9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BFCA094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_Toc6321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5.1.3 </w:t>
          </w:r>
          <w:r>
            <w:rPr>
              <w:color w:val="auto"/>
            </w:rPr>
            <w:t>外部接口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_Toc6321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9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DFD9373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_Toc17559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5.1.4 </w:t>
          </w:r>
          <w:r>
            <w:rPr>
              <w:color w:val="auto"/>
            </w:rPr>
            <w:t>软件功能关系定义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_Toc17559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9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F5A5526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_Toc279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5.2 </w:t>
          </w:r>
          <w:r>
            <w:rPr>
              <w:color w:val="auto"/>
            </w:rPr>
            <w:t>状态与转移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_Toc279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01693C1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_Toc17905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5.2.1 </w:t>
          </w:r>
          <w:r>
            <w:rPr>
              <w:color w:val="auto"/>
            </w:rPr>
            <w:t>状态与功能关系表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_Toc17905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FA69AF7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_Toc6020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5.2.2 </w:t>
          </w:r>
          <w:r>
            <w:rPr>
              <w:rFonts w:hint="eastAsia"/>
              <w:color w:val="auto"/>
              <w:lang w:eastAsia="zh-CN"/>
            </w:rPr>
            <w:t>状态转换描述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_Toc6020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42BE3B9C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_Toc21719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6. </w:t>
          </w:r>
          <w:r>
            <w:rPr>
              <w:color w:val="auto"/>
            </w:rPr>
            <w:t>CPUW（扭力）的软件架构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_Toc21719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59E7AC8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_Toc3949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6.1 </w:t>
          </w:r>
          <w:r>
            <w:rPr>
              <w:color w:val="auto"/>
            </w:rPr>
            <w:t>静态结构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_Toc3949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F81D665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_Toc11753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6.1.1 </w:t>
          </w:r>
          <w:r>
            <w:rPr>
              <w:color w:val="auto"/>
            </w:rPr>
            <w:t>软件架构图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_Toc11753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425BD2D7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_Toc13804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6.1.2 </w:t>
          </w:r>
          <w:r>
            <w:rPr>
              <w:color w:val="auto"/>
            </w:rPr>
            <w:t>模块关系图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_Toc13804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64D3DDF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_Toc18671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6.1.3 </w:t>
          </w:r>
          <w:r>
            <w:rPr>
              <w:color w:val="auto"/>
            </w:rPr>
            <w:t>外部接口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_Toc18671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0AAE602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_Toc20082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6.1.4 </w:t>
          </w:r>
          <w:r>
            <w:rPr>
              <w:color w:val="auto"/>
            </w:rPr>
            <w:t>软件功能关系定义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_Toc20082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C3FEB38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_Toc822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6.2 </w:t>
          </w:r>
          <w:r>
            <w:rPr>
              <w:color w:val="auto"/>
            </w:rPr>
            <w:t>状态与转移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_Toc822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9AE952C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_Toc21040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6.2.1 </w:t>
          </w:r>
          <w:r>
            <w:rPr>
              <w:color w:val="auto"/>
            </w:rPr>
            <w:t>运行、超时与故障传播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_Toc21040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411A338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_Toc9693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7. </w:t>
          </w:r>
          <w:r>
            <w:rPr>
              <w:rFonts w:hint="eastAsia"/>
              <w:color w:val="auto"/>
              <w:lang w:eastAsia="zh-CN"/>
            </w:rPr>
            <w:t>CPU4 扩展边界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_Toc9693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095DF88">
          <w:pPr>
            <w:rPr>
              <w:rFonts w:hint="eastAsia" w:ascii="华文楷体" w:hAnsi="华文楷体" w:eastAsia="华文楷体" w:cs="华文楷体"/>
              <w:color w:val="auto"/>
            </w:rPr>
          </w:pPr>
          <w:r>
            <w:rPr>
              <w:color w:val="auto"/>
            </w:rPr>
            <w:fldChar w:fldCharType="end"/>
          </w:r>
        </w:p>
      </w:sdtContent>
    </w:sdt>
    <w:p w14:paraId="45F78CB6">
      <w:pPr>
        <w:keepNext w:val="0"/>
        <w:pageBreakBefore w:val="0"/>
        <w:bidi w:val="0"/>
        <w:spacing w:before="0" w:after="0" w:line="20" w:lineRule="exact"/>
        <w:jc w:val="left"/>
        <w:rPr>
          <w:rFonts w:ascii="宋体" w:cs="宋体" w:hAnsiTheme="minorHAnsi"/>
          <w:color w:val="auto"/>
          <w:kern w:val="0"/>
          <w:sz w:val="2"/>
          <w:szCs w:val="21"/>
        </w:rPr>
        <w:sectPr>
          <w:footerReference r:id="rId9" w:type="first"/>
          <w:headerReference r:id="rId7" w:type="default"/>
          <w:footerReference r:id="rId8" w:type="default"/>
          <w:pgSz w:w="11906" w:h="16838"/>
          <w:pgMar w:top="720" w:right="720" w:bottom="720" w:left="720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7EECDF66">
      <w:pPr>
        <w:pStyle w:val="2"/>
        <w:rPr>
          <w:color w:val="auto"/>
        </w:rPr>
      </w:pPr>
      <w:bookmarkStart w:id="0" w:name="_Toc29218"/>
      <w:r>
        <w:rPr>
          <w:color w:val="auto"/>
        </w:rPr>
        <w:t>概述</w:t>
      </w:r>
      <w:bookmarkEnd w:id="0"/>
    </w:p>
    <w:p w14:paraId="7CE67959">
      <w:pPr>
        <w:pStyle w:val="4"/>
        <w:rPr>
          <w:color w:val="auto"/>
        </w:rPr>
      </w:pPr>
      <w:bookmarkStart w:id="1" w:name="_Toc13745"/>
      <w:r>
        <w:rPr>
          <w:color w:val="auto"/>
        </w:rPr>
        <w:t>编写目标</w:t>
      </w:r>
      <w:bookmarkEnd w:id="1"/>
    </w:p>
    <w:p w14:paraId="07F34984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本文说明二代储罐在线自动计量仪的软件组成、处理器职责、接口关系和运行状态，明确各状态的进入条件、转换条件及主要任务，作为软件详细设计、集成测试和功能安全评审的上位依据。</w:t>
      </w:r>
    </w:p>
    <w:p w14:paraId="49376365">
      <w:pPr>
        <w:pStyle w:val="4"/>
        <w:rPr>
          <w:color w:val="auto"/>
        </w:rPr>
      </w:pPr>
      <w:bookmarkStart w:id="2" w:name="_Toc15984"/>
      <w:r>
        <w:rPr>
          <w:color w:val="auto"/>
        </w:rPr>
        <w:t>适用范围</w:t>
      </w:r>
      <w:bookmarkEnd w:id="2"/>
    </w:p>
    <w:p w14:paraId="7E3E5C2F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本文档覆盖二代储罐在线自动计量仪已完成的软件设计、实现、测试和确认。已实现范围包括 CPU1、CPU2、CPU3、 CPUW（扭力）及 CPU4 非安全扩展。</w:t>
      </w:r>
    </w:p>
    <w:p w14:paraId="713B24DE">
      <w:pPr>
        <w:rPr>
          <w:color w:val="auto"/>
        </w:rPr>
      </w:pPr>
      <w:r>
        <w:rPr>
          <w:color w:val="auto"/>
        </w:rPr>
        <w:t>本文档的预期读者为软件、硬件设计人员，以及产品测试、确认和功能安全评审人员。</w:t>
      </w:r>
    </w:p>
    <w:p w14:paraId="46731893">
      <w:pPr>
        <w:pStyle w:val="4"/>
        <w:rPr>
          <w:color w:val="auto"/>
        </w:rPr>
      </w:pPr>
      <w:bookmarkStart w:id="3" w:name="_Toc286"/>
      <w:r>
        <w:rPr>
          <w:color w:val="auto"/>
        </w:rPr>
        <w:t>术语和缩略语</w:t>
      </w:r>
      <w:bookmarkEnd w:id="3"/>
    </w:p>
    <w:p w14:paraId="7433E8B5">
      <w:pPr>
        <w:autoSpaceDE w:val="0"/>
        <w:autoSpaceDN w:val="0"/>
        <w:adjustRightInd w:val="0"/>
        <w:ind w:firstLine="422" w:firstLineChars="201"/>
        <w:jc w:val="left"/>
        <w:rPr>
          <w:color w:val="auto"/>
        </w:rPr>
      </w:pPr>
      <w:r>
        <w:rPr>
          <w:rFonts w:hint="eastAsia" w:ascii="华文楷体" w:hAnsi="华文楷体" w:eastAsia="华文楷体" w:cs="华文楷体"/>
          <w:color w:val="auto"/>
          <w:kern w:val="0"/>
          <w:szCs w:val="21"/>
          <w:lang w:val="en-US" w:eastAsia="zh-CN"/>
        </w:rPr>
        <w:t>储罐在线自动计量仪：</w:t>
      </w:r>
      <w:r>
        <w:rPr>
          <w:rFonts w:hint="eastAsia" w:ascii="华文楷体" w:hAnsi="华文楷体" w:eastAsia="华文楷体" w:cs="华文楷体"/>
          <w:color w:val="auto"/>
          <w:lang w:val="en-US" w:eastAsia="zh-CN"/>
        </w:rPr>
        <w:t>在固定大型储罐上使用的、用于贸易结算的、通过传感器测量储罐内液面位置、并计算出罐内液体体积变化的一种自动仪表（包涵显示部分），可以是接触式或非接触式的。</w:t>
      </w:r>
    </w:p>
    <w:p w14:paraId="34E5BA76">
      <w:pPr>
        <w:ind w:firstLine="420" w:firstLineChars="0"/>
        <w:rPr>
          <w:color w:val="auto"/>
        </w:rPr>
      </w:pPr>
      <w:r>
        <w:rPr>
          <w:color w:val="auto"/>
        </w:rPr>
        <w:t>CPU1：DM4传感器端处理单元，负责原始量采集、计算和协议通信。</w:t>
      </w:r>
    </w:p>
    <w:p w14:paraId="65766D33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CPU2：主控处理器，负责测量流程、运动控制、参数管理、故障处理和安全动作，并向 CPU3 提供确认后的业务数据。</w:t>
      </w:r>
    </w:p>
    <w:p w14:paraId="5ED05AFF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CPU3：显示与对外通信处理器，负责显示、按键、CPU2 数据同步和外部数字协议适配。</w:t>
      </w:r>
    </w:p>
    <w:p w14:paraId="1011545A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CPUW：每台设备配置的非安全扭力处理器，负责采集扭力及板内监测量，并向 CPU2 主动上报数据。</w:t>
      </w:r>
    </w:p>
    <w:p w14:paraId="6C171E09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CPU4：非安全扩展处理器，负责外部实时温度采集并经 CPU3 上传。</w:t>
      </w:r>
    </w:p>
    <w:p w14:paraId="5311A28A">
      <w:pPr>
        <w:pStyle w:val="4"/>
        <w:rPr>
          <w:color w:val="auto"/>
        </w:rPr>
      </w:pPr>
      <w:bookmarkStart w:id="4" w:name="_Toc23744"/>
      <w:r>
        <w:rPr>
          <w:color w:val="auto"/>
        </w:rPr>
        <w:t>相关文件清单</w:t>
      </w:r>
      <w:bookmarkEnd w:id="4"/>
    </w:p>
    <w:p w14:paraId="17560C0F"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《CG01.系统架构设计-V1.2》</w:t>
      </w:r>
    </w:p>
    <w:p w14:paraId="39DAABD8">
      <w:pPr>
        <w:autoSpaceDE w:val="0"/>
        <w:autoSpaceDN w:val="0"/>
        <w:adjustRightInd w:val="0"/>
        <w:jc w:val="left"/>
        <w:rPr>
          <w:rFonts w:hint="eastAsia" w:ascii="华文楷体" w:hAnsi="华文楷体" w:eastAsia="华文楷体" w:cs="华文楷体"/>
          <w:color w:val="auto"/>
          <w:kern w:val="0"/>
          <w:szCs w:val="21"/>
          <w:lang w:val="en-US" w:eastAsia="zh-CN"/>
        </w:rPr>
      </w:pPr>
      <w:bookmarkStart w:id="5" w:name="_Toc28550"/>
      <w:r>
        <w:rPr>
          <w:rFonts w:hint="eastAsia" w:ascii="华文楷体" w:hAnsi="华文楷体" w:eastAsia="华文楷体" w:cs="华文楷体"/>
          <w:color w:val="auto"/>
          <w:kern w:val="0"/>
          <w:szCs w:val="21"/>
          <w:lang w:val="en-US" w:eastAsia="zh-CN"/>
        </w:rPr>
        <w:t>《软件安全需求概要》</w:t>
      </w:r>
    </w:p>
    <w:p w14:paraId="5271EAE8">
      <w:pPr>
        <w:pStyle w:val="2"/>
        <w:jc w:val="left"/>
        <w:rPr>
          <w:color w:val="auto"/>
        </w:rPr>
      </w:pPr>
      <w:r>
        <w:rPr>
          <w:color w:val="auto"/>
        </w:rPr>
        <w:t>软件整体架构</w:t>
      </w:r>
      <w:bookmarkEnd w:id="5"/>
    </w:p>
    <w:p w14:paraId="7A84949D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二代计量仪由 CPU1、CPU2、CPU3、CPUW 和 CPU4 组成，CPU4 外部温度扩展已完成设计与实现。CPU2 负责测量、运动、故障处理和安全动作；CPU3 负责人机交互和外部数字协议。各处理器的软件模块、接口、外设和安全边界见下图。</w:t>
      </w:r>
    </w:p>
    <w:p w14:paraId="1EDD899E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25" o:spt="75" alt="" type="#_x0000_t75" style="height:258.85pt;width:445.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42342B21">
      <w:pPr>
        <w:pStyle w:val="3"/>
        <w:keepLines/>
        <w:rPr>
          <w:color w:val="auto"/>
        </w:rPr>
      </w:pPr>
      <w:r>
        <w:rPr>
          <w:color w:val="auto"/>
        </w:rPr>
        <w:t>◆  CPU1 采用 DM4 传感器，向 CPU2 传输原始数据、计算结果、状态和诊断信息。</w:t>
      </w:r>
    </w:p>
    <w:p w14:paraId="17F009BA">
      <w:pPr>
        <w:pStyle w:val="3"/>
        <w:keepLines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◆  DM4 非安全协议不属于安全通信；采用 SIL 配置时，只有使用 DM4 安全协议的 CPU1↔CPU2 端到端链路属于安全通信。</w:t>
      </w:r>
    </w:p>
    <w:p w14:paraId="7F0D0A81">
      <w:pPr>
        <w:pStyle w:val="3"/>
        <w:keepLines/>
        <w:rPr>
          <w:color w:val="auto"/>
        </w:rPr>
      </w:pPr>
      <w:r>
        <w:rPr>
          <w:color w:val="auto"/>
        </w:rPr>
        <w:t>◆  CPUW 通过非安全串口向 CPU2 主动上报扭力数据，CPU2 负责数据采用、超时和业务故障判断。</w:t>
      </w:r>
    </w:p>
    <w:p w14:paraId="20F8EB8D">
      <w:pPr>
        <w:pStyle w:val="3"/>
        <w:keepLines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◆  CPU2 与 CPU3 通过协议交互，CPU3 只发布从 CPU2 完整同步并确认的数据。</w:t>
      </w:r>
    </w:p>
    <w:p w14:paraId="34D91DF6">
      <w:pPr>
        <w:pStyle w:val="3"/>
        <w:keepLines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◆  CPU4 的数据路径为外部实时温度计→CPU4→CPU3→上位机，不经过 CPU2。</w:t>
      </w:r>
    </w:p>
    <w:p w14:paraId="57BACA30">
      <w:pPr>
        <w:pStyle w:val="2"/>
        <w:rPr>
          <w:color w:val="auto"/>
        </w:rPr>
      </w:pPr>
      <w:bookmarkStart w:id="6" w:name="_Toc21540"/>
      <w:r>
        <w:rPr>
          <w:color w:val="auto"/>
        </w:rPr>
        <w:t>CPU1 的软件架构</w:t>
      </w:r>
      <w:bookmarkEnd w:id="6"/>
    </w:p>
    <w:p w14:paraId="55EB71DE">
      <w:pPr>
        <w:pStyle w:val="4"/>
        <w:rPr>
          <w:color w:val="auto"/>
        </w:rPr>
      </w:pPr>
      <w:bookmarkStart w:id="7" w:name="_Toc26027"/>
      <w:r>
        <w:rPr>
          <w:color w:val="auto"/>
        </w:rPr>
        <w:t>静态结构</w:t>
      </w:r>
      <w:bookmarkEnd w:id="7"/>
    </w:p>
    <w:p w14:paraId="4B4034A9">
      <w:pPr>
        <w:pStyle w:val="5"/>
        <w:rPr>
          <w:color w:val="auto"/>
        </w:rPr>
      </w:pPr>
      <w:bookmarkStart w:id="8" w:name="_Toc28771"/>
      <w:r>
        <w:rPr>
          <w:color w:val="auto"/>
        </w:rPr>
        <w:t>软件架构图</w:t>
      </w:r>
      <w:bookmarkEnd w:id="8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786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16" w:type="dxa"/>
            <w:vAlign w:val="center"/>
          </w:tcPr>
          <w:p w14:paraId="732C7E08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产品配置层</w:t>
            </w:r>
          </w:p>
        </w:tc>
        <w:tc>
          <w:tcPr>
            <w:tcW w:w="2616" w:type="dxa"/>
            <w:vAlign w:val="center"/>
          </w:tcPr>
          <w:p w14:paraId="58A63709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数据处理层</w:t>
            </w:r>
          </w:p>
        </w:tc>
        <w:tc>
          <w:tcPr>
            <w:tcW w:w="2616" w:type="dxa"/>
            <w:vAlign w:val="center"/>
          </w:tcPr>
          <w:p w14:paraId="262629AA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协议层</w:t>
            </w:r>
          </w:p>
        </w:tc>
        <w:tc>
          <w:tcPr>
            <w:tcW w:w="2616" w:type="dxa"/>
            <w:vAlign w:val="center"/>
          </w:tcPr>
          <w:p w14:paraId="020366C9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硬件与链路层</w:t>
            </w:r>
          </w:p>
        </w:tc>
      </w:tr>
      <w:tr w14:paraId="4B3C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16" w:type="dxa"/>
            <w:vAlign w:val="center"/>
          </w:tcPr>
          <w:p w14:paraId="3692578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DM4 传感器</w:t>
            </w:r>
          </w:p>
        </w:tc>
        <w:tc>
          <w:tcPr>
            <w:tcW w:w="2616" w:type="dxa"/>
            <w:vAlign w:val="center"/>
          </w:tcPr>
          <w:p w14:paraId="5972C57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原始量采集、计算结果、状态与诊断</w:t>
            </w:r>
          </w:p>
        </w:tc>
        <w:tc>
          <w:tcPr>
            <w:tcW w:w="2616" w:type="dxa"/>
            <w:vAlign w:val="center"/>
          </w:tcPr>
          <w:p w14:paraId="1C5AC75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DM4 安全协议或非安全协议</w:t>
            </w:r>
          </w:p>
        </w:tc>
        <w:tc>
          <w:tcPr>
            <w:tcW w:w="2616" w:type="dxa"/>
            <w:vAlign w:val="center"/>
          </w:tcPr>
          <w:p w14:paraId="26CBF5D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传感器接口、串口和蓝牙透明传输</w:t>
            </w:r>
          </w:p>
        </w:tc>
      </w:tr>
    </w:tbl>
    <w:p w14:paraId="6F3F2FBB">
      <w:pPr>
        <w:pStyle w:val="5"/>
        <w:rPr>
          <w:color w:val="auto"/>
        </w:rPr>
      </w:pPr>
      <w:bookmarkStart w:id="9" w:name="_Toc23040"/>
      <w:r>
        <w:rPr>
          <w:color w:val="auto"/>
        </w:rPr>
        <w:t>模块关系图</w:t>
      </w:r>
      <w:bookmarkEnd w:id="9"/>
    </w:p>
    <w:p w14:paraId="41F00E7B">
      <w:pPr>
        <w:pStyle w:val="3"/>
        <w:ind w:left="0" w:leftChars="0" w:firstLine="0" w:firstLineChars="0"/>
        <w:jc w:val="both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34" o:spt="75" alt="" type="#_x0000_t75" style="height:168.05pt;width:521.7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34" DrawAspect="Content" ObjectID="_1468075726" r:id="rId14">
            <o:LockedField>false</o:LockedField>
          </o:OLEObject>
        </w:object>
      </w:r>
    </w:p>
    <w:p w14:paraId="6FA6D7B1">
      <w:pPr>
        <w:pStyle w:val="3"/>
        <w:rPr>
          <w:color w:val="auto"/>
        </w:rPr>
      </w:pPr>
      <w:r>
        <w:rPr>
          <w:color w:val="auto"/>
        </w:rPr>
        <w:t xml:space="preserve">CPU1 </w:t>
      </w:r>
      <w:r>
        <w:rPr>
          <w:rFonts w:hint="eastAsia"/>
          <w:color w:val="auto"/>
          <w:lang w:val="en-US" w:eastAsia="zh-CN"/>
        </w:rPr>
        <w:t>是</w:t>
      </w:r>
      <w:r>
        <w:rPr>
          <w:color w:val="auto"/>
        </w:rPr>
        <w:t xml:space="preserve"> DM4 传感器</w:t>
      </w:r>
      <w:r>
        <w:rPr>
          <w:rFonts w:hint="eastAsia"/>
          <w:color w:val="auto"/>
          <w:lang w:val="en-US" w:eastAsia="zh-CN"/>
        </w:rPr>
        <w:t>的核心控制单元</w:t>
      </w:r>
      <w:r>
        <w:rPr>
          <w:color w:val="auto"/>
        </w:rPr>
        <w:t>。DM4 安全协议和非安全协议按产品配置选用；蓝牙链路只透明承载 CPU1 与 CPU2 之间的逻辑协议帧，不设置独立业务 CPU。</w:t>
      </w:r>
    </w:p>
    <w:tbl>
      <w:tblPr>
        <w:tblStyle w:val="22"/>
        <w:tblpPr w:leftFromText="180" w:rightFromText="180" w:vertAnchor="text" w:horzAnchor="page" w:tblpX="1293" w:tblpY="607"/>
        <w:tblOverlap w:val="never"/>
        <w:tblW w:w="9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113"/>
        <w:gridCol w:w="1164"/>
        <w:gridCol w:w="1851"/>
        <w:gridCol w:w="4827"/>
      </w:tblGrid>
      <w:tr w14:paraId="5BF85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vAlign w:val="center"/>
          </w:tcPr>
          <w:p w14:paraId="1685BE1E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bookmarkStart w:id="10" w:name="_Toc26826"/>
            <w:r>
              <w:rPr>
                <w:b/>
                <w:color w:val="auto"/>
              </w:rPr>
              <w:t>序号</w:t>
            </w:r>
          </w:p>
        </w:tc>
        <w:tc>
          <w:tcPr>
            <w:tcW w:w="0" w:type="auto"/>
            <w:vAlign w:val="center"/>
          </w:tcPr>
          <w:p w14:paraId="30DA062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内部组件</w:t>
            </w:r>
          </w:p>
        </w:tc>
        <w:tc>
          <w:tcPr>
            <w:tcW w:w="0" w:type="auto"/>
            <w:vAlign w:val="center"/>
          </w:tcPr>
          <w:p w14:paraId="0FF9BD7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外部组件</w:t>
            </w:r>
          </w:p>
        </w:tc>
        <w:tc>
          <w:tcPr>
            <w:tcW w:w="0" w:type="auto"/>
            <w:vAlign w:val="center"/>
          </w:tcPr>
          <w:p w14:paraId="6980F597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接口</w:t>
            </w:r>
          </w:p>
        </w:tc>
        <w:tc>
          <w:tcPr>
            <w:tcW w:w="4827" w:type="dxa"/>
            <w:vAlign w:val="center"/>
          </w:tcPr>
          <w:p w14:paraId="756DB5A2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连接描述</w:t>
            </w:r>
          </w:p>
        </w:tc>
      </w:tr>
      <w:tr w14:paraId="479F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5F5B2282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0" w:type="auto"/>
            <w:vAlign w:val="center"/>
          </w:tcPr>
          <w:p w14:paraId="7FE226E7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采集与计算</w:t>
            </w:r>
          </w:p>
        </w:tc>
        <w:tc>
          <w:tcPr>
            <w:tcW w:w="0" w:type="auto"/>
            <w:vAlign w:val="center"/>
          </w:tcPr>
          <w:p w14:paraId="3391A1A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DM4 传感器</w:t>
            </w:r>
          </w:p>
        </w:tc>
        <w:tc>
          <w:tcPr>
            <w:tcW w:w="0" w:type="auto"/>
            <w:vAlign w:val="center"/>
          </w:tcPr>
          <w:p w14:paraId="50FC2D4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传感器内部接口</w:t>
            </w:r>
          </w:p>
        </w:tc>
        <w:tc>
          <w:tcPr>
            <w:tcW w:w="4827" w:type="dxa"/>
            <w:vAlign w:val="center"/>
          </w:tcPr>
          <w:p w14:paraId="62D146E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采集 DM4 原始量并形成计算结果。</w:t>
            </w:r>
          </w:p>
        </w:tc>
      </w:tr>
      <w:tr w14:paraId="37635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0AF028AC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0" w:type="auto"/>
            <w:vAlign w:val="center"/>
          </w:tcPr>
          <w:p w14:paraId="48095EFF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协议处理</w:t>
            </w:r>
          </w:p>
        </w:tc>
        <w:tc>
          <w:tcPr>
            <w:tcW w:w="0" w:type="auto"/>
            <w:vAlign w:val="center"/>
          </w:tcPr>
          <w:p w14:paraId="66F3F00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</w:t>
            </w:r>
          </w:p>
        </w:tc>
        <w:tc>
          <w:tcPr>
            <w:tcW w:w="0" w:type="auto"/>
            <w:vAlign w:val="center"/>
          </w:tcPr>
          <w:p w14:paraId="304B1970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逻辑串口；蓝牙透明传输</w:t>
            </w:r>
          </w:p>
        </w:tc>
        <w:tc>
          <w:tcPr>
            <w:tcW w:w="4827" w:type="dxa"/>
            <w:vAlign w:val="center"/>
          </w:tcPr>
          <w:p w14:paraId="1A9EFA5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按 DM4 安全或非安全协议上传数据、状态和诊断信息。</w:t>
            </w:r>
          </w:p>
        </w:tc>
      </w:tr>
      <w:tr w14:paraId="509D3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61" w:type="dxa"/>
            <w:vAlign w:val="center"/>
          </w:tcPr>
          <w:p w14:paraId="6856B25A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13" w:type="dxa"/>
            <w:vAlign w:val="center"/>
          </w:tcPr>
          <w:p w14:paraId="4E08242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安全协议处理</w:t>
            </w:r>
          </w:p>
        </w:tc>
        <w:tc>
          <w:tcPr>
            <w:tcW w:w="1164" w:type="dxa"/>
            <w:vAlign w:val="center"/>
          </w:tcPr>
          <w:p w14:paraId="360DD24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</w:t>
            </w:r>
          </w:p>
        </w:tc>
        <w:tc>
          <w:tcPr>
            <w:tcW w:w="1851" w:type="dxa"/>
            <w:vAlign w:val="center"/>
          </w:tcPr>
          <w:p w14:paraId="2E982FD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DM4 安全协议</w:t>
            </w:r>
          </w:p>
        </w:tc>
        <w:tc>
          <w:tcPr>
            <w:tcW w:w="4827" w:type="dxa"/>
            <w:vAlign w:val="center"/>
          </w:tcPr>
          <w:p w14:paraId="2B6058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仅用于 SIL 配置；接口字段和版本以正式发布的 DM4 安全协议为准，联调结果另行记录。</w:t>
            </w:r>
          </w:p>
        </w:tc>
      </w:tr>
    </w:tbl>
    <w:p w14:paraId="2B937D1E">
      <w:pPr>
        <w:pStyle w:val="5"/>
        <w:rPr>
          <w:color w:val="auto"/>
        </w:rPr>
      </w:pPr>
      <w:r>
        <w:rPr>
          <w:color w:val="auto"/>
        </w:rPr>
        <w:t>外部接口</w:t>
      </w:r>
      <w:bookmarkEnd w:id="10"/>
    </w:p>
    <w:p w14:paraId="5EDDF361">
      <w:pPr>
        <w:pStyle w:val="5"/>
        <w:rPr>
          <w:color w:val="auto"/>
        </w:rPr>
      </w:pPr>
      <w:bookmarkStart w:id="11" w:name="_Toc24253"/>
      <w:r>
        <w:rPr>
          <w:color w:val="auto"/>
        </w:rPr>
        <w:t>软件功能关系定义</w:t>
      </w:r>
      <w:bookmarkEnd w:id="11"/>
    </w:p>
    <w:tbl>
      <w:tblPr>
        <w:tblStyle w:val="22"/>
        <w:tblW w:w="101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853"/>
        <w:gridCol w:w="1851"/>
        <w:gridCol w:w="3883"/>
        <w:gridCol w:w="3000"/>
      </w:tblGrid>
      <w:tr w14:paraId="0D51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577DA5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0" w:type="auto"/>
            <w:vAlign w:val="center"/>
          </w:tcPr>
          <w:p w14:paraId="6C643A8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系统功能</w:t>
            </w:r>
          </w:p>
        </w:tc>
        <w:tc>
          <w:tcPr>
            <w:tcW w:w="0" w:type="auto"/>
            <w:vAlign w:val="center"/>
          </w:tcPr>
          <w:p w14:paraId="364CB17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软件功能</w:t>
            </w:r>
          </w:p>
        </w:tc>
        <w:tc>
          <w:tcPr>
            <w:tcW w:w="0" w:type="auto"/>
            <w:vAlign w:val="center"/>
          </w:tcPr>
          <w:p w14:paraId="4601177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功能描述</w:t>
            </w:r>
          </w:p>
        </w:tc>
        <w:tc>
          <w:tcPr>
            <w:tcW w:w="3000" w:type="dxa"/>
            <w:vAlign w:val="center"/>
          </w:tcPr>
          <w:p w14:paraId="5C57B8F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3E68F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C2DF2C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0" w:type="auto"/>
            <w:vAlign w:val="center"/>
          </w:tcPr>
          <w:p w14:paraId="7FC3EF6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初始化</w:t>
            </w:r>
          </w:p>
        </w:tc>
        <w:tc>
          <w:tcPr>
            <w:tcW w:w="0" w:type="auto"/>
            <w:vAlign w:val="center"/>
          </w:tcPr>
          <w:p w14:paraId="3D5607A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DM4 配置和接口初始化</w:t>
            </w:r>
          </w:p>
        </w:tc>
        <w:tc>
          <w:tcPr>
            <w:tcW w:w="0" w:type="auto"/>
            <w:vAlign w:val="center"/>
          </w:tcPr>
          <w:p w14:paraId="6198D40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初始化 DM4 采集、计算和通信接口。</w:t>
            </w:r>
          </w:p>
        </w:tc>
        <w:tc>
          <w:tcPr>
            <w:tcW w:w="3000" w:type="dxa"/>
            <w:vAlign w:val="center"/>
          </w:tcPr>
          <w:p w14:paraId="6C8A1C3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按产品配置选择安全或非安全协议</w:t>
            </w:r>
          </w:p>
        </w:tc>
      </w:tr>
      <w:tr w14:paraId="1425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EE0F90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0" w:type="auto"/>
            <w:vAlign w:val="center"/>
          </w:tcPr>
          <w:p w14:paraId="4D5DCE3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测量</w:t>
            </w:r>
          </w:p>
        </w:tc>
        <w:tc>
          <w:tcPr>
            <w:tcW w:w="0" w:type="auto"/>
            <w:vAlign w:val="center"/>
          </w:tcPr>
          <w:p w14:paraId="3D16A51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原始量采集和计算</w:t>
            </w:r>
          </w:p>
        </w:tc>
        <w:tc>
          <w:tcPr>
            <w:tcW w:w="0" w:type="auto"/>
            <w:vAlign w:val="center"/>
          </w:tcPr>
          <w:p w14:paraId="002F2EC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采集 DM4 数据并形成协议要求的原始量和计算结果。</w:t>
            </w:r>
          </w:p>
        </w:tc>
        <w:tc>
          <w:tcPr>
            <w:tcW w:w="3000" w:type="dxa"/>
            <w:vAlign w:val="center"/>
          </w:tcPr>
          <w:p w14:paraId="61A99E4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字段以 DM4 协议为准</w:t>
            </w:r>
          </w:p>
        </w:tc>
      </w:tr>
      <w:tr w14:paraId="573A0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3A0172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0" w:type="auto"/>
            <w:vAlign w:val="center"/>
          </w:tcPr>
          <w:p w14:paraId="5D85357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通信</w:t>
            </w:r>
          </w:p>
        </w:tc>
        <w:tc>
          <w:tcPr>
            <w:tcW w:w="0" w:type="auto"/>
            <w:vAlign w:val="center"/>
          </w:tcPr>
          <w:p w14:paraId="31233D3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协议组帧和收发</w:t>
            </w:r>
          </w:p>
        </w:tc>
        <w:tc>
          <w:tcPr>
            <w:tcW w:w="0" w:type="auto"/>
            <w:vAlign w:val="center"/>
          </w:tcPr>
          <w:p w14:paraId="25AF5BA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向 CPU2 上报数据，并处理 DM4 协议规定的命令和状态。</w:t>
            </w:r>
          </w:p>
        </w:tc>
        <w:tc>
          <w:tcPr>
            <w:tcW w:w="3000" w:type="dxa"/>
            <w:vAlign w:val="center"/>
          </w:tcPr>
          <w:p w14:paraId="0AA11FE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蓝牙不解析业务语义</w:t>
            </w:r>
          </w:p>
        </w:tc>
      </w:tr>
      <w:tr w14:paraId="4B667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66" w:type="dxa"/>
            <w:vAlign w:val="center"/>
          </w:tcPr>
          <w:p w14:paraId="68AE211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53" w:type="dxa"/>
            <w:vAlign w:val="center"/>
          </w:tcPr>
          <w:p w14:paraId="54F855D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诊断</w:t>
            </w:r>
          </w:p>
        </w:tc>
        <w:tc>
          <w:tcPr>
            <w:tcW w:w="1851" w:type="dxa"/>
            <w:vAlign w:val="center"/>
          </w:tcPr>
          <w:p w14:paraId="6FFC3C4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本机诊断和状态上报</w:t>
            </w:r>
          </w:p>
        </w:tc>
        <w:tc>
          <w:tcPr>
            <w:tcW w:w="3883" w:type="dxa"/>
            <w:vAlign w:val="center"/>
          </w:tcPr>
          <w:p w14:paraId="73677D2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检测传感器端异常并通过协议向 CPU2 报告。</w:t>
            </w:r>
          </w:p>
        </w:tc>
        <w:tc>
          <w:tcPr>
            <w:tcW w:w="3000" w:type="dxa"/>
            <w:vAlign w:val="center"/>
          </w:tcPr>
          <w:p w14:paraId="16B6479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诊断项和错误码以正式发布的 DM4 协议为准</w:t>
            </w:r>
          </w:p>
        </w:tc>
      </w:tr>
    </w:tbl>
    <w:p w14:paraId="31DCAB59">
      <w:pPr>
        <w:pStyle w:val="4"/>
        <w:rPr>
          <w:color w:val="auto"/>
        </w:rPr>
      </w:pPr>
      <w:bookmarkStart w:id="12" w:name="_Toc18017"/>
      <w:r>
        <w:rPr>
          <w:color w:val="auto"/>
        </w:rPr>
        <w:t>状态与转移</w:t>
      </w:r>
      <w:bookmarkEnd w:id="12"/>
    </w:p>
    <w:p w14:paraId="15A2D236">
      <w:pPr>
        <w:pStyle w:val="5"/>
        <w:rPr>
          <w:color w:val="auto"/>
        </w:rPr>
      </w:pPr>
      <w:bookmarkStart w:id="13" w:name="_Toc25008"/>
      <w:r>
        <w:rPr>
          <w:color w:val="auto"/>
        </w:rPr>
        <w:t>状态分析</w:t>
      </w:r>
      <w:bookmarkEnd w:id="13"/>
    </w:p>
    <w:tbl>
      <w:tblPr>
        <w:tblStyle w:val="22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3669"/>
        <w:gridCol w:w="2186"/>
        <w:gridCol w:w="3500"/>
      </w:tblGrid>
      <w:tr w14:paraId="5690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67" w:type="dxa"/>
            <w:vAlign w:val="center"/>
          </w:tcPr>
          <w:p w14:paraId="6B2B8A36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状态</w:t>
            </w:r>
          </w:p>
        </w:tc>
        <w:tc>
          <w:tcPr>
            <w:tcW w:w="3669" w:type="dxa"/>
            <w:vAlign w:val="center"/>
          </w:tcPr>
          <w:p w14:paraId="0FF8D382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主要功能</w:t>
            </w:r>
          </w:p>
        </w:tc>
        <w:tc>
          <w:tcPr>
            <w:tcW w:w="0" w:type="auto"/>
            <w:vAlign w:val="center"/>
          </w:tcPr>
          <w:p w14:paraId="6896DAF3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触发或周期</w:t>
            </w:r>
          </w:p>
        </w:tc>
        <w:tc>
          <w:tcPr>
            <w:tcW w:w="3500" w:type="dxa"/>
            <w:vAlign w:val="center"/>
          </w:tcPr>
          <w:p w14:paraId="2B7DF780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转移条件</w:t>
            </w:r>
          </w:p>
        </w:tc>
      </w:tr>
      <w:tr w14:paraId="1B03C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7" w:type="dxa"/>
            <w:vAlign w:val="center"/>
          </w:tcPr>
          <w:p w14:paraId="2720A1B0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初始化</w:t>
            </w:r>
          </w:p>
        </w:tc>
        <w:tc>
          <w:tcPr>
            <w:tcW w:w="3669" w:type="dxa"/>
            <w:vAlign w:val="center"/>
          </w:tcPr>
          <w:p w14:paraId="0C8BFB8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装载配置、初始化采集和通信接口、自检</w:t>
            </w:r>
          </w:p>
        </w:tc>
        <w:tc>
          <w:tcPr>
            <w:tcW w:w="0" w:type="auto"/>
            <w:vAlign w:val="center"/>
          </w:tcPr>
          <w:p w14:paraId="5B9AEBD2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上电或复位</w:t>
            </w:r>
          </w:p>
        </w:tc>
        <w:tc>
          <w:tcPr>
            <w:tcW w:w="3500" w:type="dxa"/>
            <w:vAlign w:val="center"/>
          </w:tcPr>
          <w:p w14:paraId="562A5460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初始化完成进入采集；失败进入故障</w:t>
            </w:r>
          </w:p>
        </w:tc>
      </w:tr>
      <w:tr w14:paraId="4184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7" w:type="dxa"/>
            <w:vAlign w:val="center"/>
          </w:tcPr>
          <w:p w14:paraId="7AAF65E5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采集与计算</w:t>
            </w:r>
          </w:p>
        </w:tc>
        <w:tc>
          <w:tcPr>
            <w:tcW w:w="3669" w:type="dxa"/>
            <w:vAlign w:val="center"/>
          </w:tcPr>
          <w:p w14:paraId="0F7BC06F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采集原始量并形成计算结果</w:t>
            </w:r>
          </w:p>
        </w:tc>
        <w:tc>
          <w:tcPr>
            <w:tcW w:w="0" w:type="auto"/>
            <w:vAlign w:val="center"/>
          </w:tcPr>
          <w:p w14:paraId="1B701F2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按传感器任务周期</w:t>
            </w:r>
          </w:p>
        </w:tc>
        <w:tc>
          <w:tcPr>
            <w:tcW w:w="3500" w:type="dxa"/>
            <w:vAlign w:val="center"/>
          </w:tcPr>
          <w:p w14:paraId="7F347AE9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数据就绪进入通信；异常进入故障</w:t>
            </w:r>
          </w:p>
        </w:tc>
      </w:tr>
      <w:tr w14:paraId="41FAC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7" w:type="dxa"/>
            <w:vAlign w:val="center"/>
          </w:tcPr>
          <w:p w14:paraId="44120D20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通信</w:t>
            </w:r>
          </w:p>
        </w:tc>
        <w:tc>
          <w:tcPr>
            <w:tcW w:w="3669" w:type="dxa"/>
            <w:vAlign w:val="center"/>
          </w:tcPr>
          <w:p w14:paraId="1A98A36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按 DM4 协议与 CPU2 交换数据和状态</w:t>
            </w:r>
          </w:p>
        </w:tc>
        <w:tc>
          <w:tcPr>
            <w:tcW w:w="0" w:type="auto"/>
            <w:vAlign w:val="center"/>
          </w:tcPr>
          <w:p w14:paraId="2096055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协议请求或周期上报</w:t>
            </w:r>
          </w:p>
        </w:tc>
        <w:tc>
          <w:tcPr>
            <w:tcW w:w="3500" w:type="dxa"/>
            <w:vAlign w:val="center"/>
          </w:tcPr>
          <w:p w14:paraId="7CB43F1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完成后继续采集；链路异常按协议恢复</w:t>
            </w:r>
          </w:p>
        </w:tc>
      </w:tr>
      <w:tr w14:paraId="44CA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7" w:type="dxa"/>
            <w:vAlign w:val="center"/>
          </w:tcPr>
          <w:p w14:paraId="69FA0DDF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故障</w:t>
            </w:r>
          </w:p>
        </w:tc>
        <w:tc>
          <w:tcPr>
            <w:tcW w:w="3669" w:type="dxa"/>
            <w:vAlign w:val="center"/>
          </w:tcPr>
          <w:p w14:paraId="724AA05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保持诊断状态并限制无效数据发布</w:t>
            </w:r>
          </w:p>
        </w:tc>
        <w:tc>
          <w:tcPr>
            <w:tcW w:w="2186" w:type="dxa"/>
            <w:vAlign w:val="center"/>
          </w:tcPr>
          <w:p w14:paraId="68483F8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自检、采集或通信异常</w:t>
            </w:r>
          </w:p>
        </w:tc>
        <w:tc>
          <w:tcPr>
            <w:tcW w:w="3500" w:type="dxa"/>
            <w:vAlign w:val="center"/>
          </w:tcPr>
          <w:p w14:paraId="791B54A1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满足 DM4 恢复条件后重新初始化</w:t>
            </w:r>
          </w:p>
        </w:tc>
      </w:tr>
    </w:tbl>
    <w:p w14:paraId="3B96BF8E">
      <w:pPr>
        <w:pStyle w:val="5"/>
        <w:rPr>
          <w:color w:val="auto"/>
        </w:rPr>
      </w:pPr>
      <w:bookmarkStart w:id="14" w:name="_Toc19711"/>
      <w:r>
        <w:rPr>
          <w:color w:val="auto"/>
        </w:rPr>
        <w:t>最大任务量分析</w:t>
      </w:r>
      <w:bookmarkEnd w:id="14"/>
    </w:p>
    <w:p w14:paraId="665B9B88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CPU1 的任务周期、最坏执行时间和通信超时已在 CPU1 详细设计和协议验证记录中量化，并已完成符合整机安全需求的验证。ER02 规定其数据方向和安全边界。</w:t>
      </w:r>
    </w:p>
    <w:p w14:paraId="607EB84F">
      <w:pPr>
        <w:pStyle w:val="5"/>
        <w:rPr>
          <w:color w:val="auto"/>
        </w:rPr>
      </w:pPr>
      <w:bookmarkStart w:id="15" w:name="_Toc30607"/>
      <w:r>
        <w:rPr>
          <w:color w:val="auto"/>
        </w:rPr>
        <w:t>状态转移</w:t>
      </w:r>
      <w:bookmarkEnd w:id="15"/>
    </w:p>
    <w:p w14:paraId="4659BBAF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27" o:spt="75" alt="" type="#_x0000_t75" style="height:177.35pt;width:496.5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6">
            <o:LockedField>false</o:LockedField>
          </o:OLEObject>
        </w:object>
      </w:r>
    </w:p>
    <w:p w14:paraId="688DEA0E">
      <w:pPr>
        <w:pStyle w:val="2"/>
        <w:rPr>
          <w:color w:val="auto"/>
        </w:rPr>
      </w:pPr>
      <w:bookmarkStart w:id="16" w:name="_Toc1493"/>
      <w:r>
        <w:rPr>
          <w:color w:val="auto"/>
        </w:rPr>
        <w:t>CPU2 软件架构</w:t>
      </w:r>
      <w:bookmarkEnd w:id="16"/>
    </w:p>
    <w:p w14:paraId="22A69394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CPU2 负责整机命令仲裁、测量计算、运动控制、参数管理、故障处理和安全动作；测量结果、命令结果及故障状态由 CPU2 确认后提供给 CPU3。</w:t>
      </w:r>
    </w:p>
    <w:p w14:paraId="4E5FA873">
      <w:pPr>
        <w:pStyle w:val="4"/>
        <w:rPr>
          <w:color w:val="auto"/>
        </w:rPr>
      </w:pPr>
      <w:bookmarkStart w:id="17" w:name="_Toc30417"/>
      <w:r>
        <w:rPr>
          <w:color w:val="auto"/>
        </w:rPr>
        <w:t>静态结构</w:t>
      </w:r>
      <w:bookmarkEnd w:id="17"/>
    </w:p>
    <w:p w14:paraId="17B1B90E">
      <w:pPr>
        <w:pStyle w:val="5"/>
        <w:rPr>
          <w:color w:val="auto"/>
        </w:rPr>
      </w:pPr>
      <w:bookmarkStart w:id="18" w:name="_Toc16224"/>
      <w:r>
        <w:rPr>
          <w:color w:val="auto"/>
        </w:rPr>
        <w:t>软件架构图</w:t>
      </w:r>
      <w:bookmarkEnd w:id="18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D40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16" w:type="dxa"/>
            <w:vAlign w:val="center"/>
          </w:tcPr>
          <w:p w14:paraId="1A88AEEF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应用层</w:t>
            </w:r>
          </w:p>
        </w:tc>
        <w:tc>
          <w:tcPr>
            <w:tcW w:w="2616" w:type="dxa"/>
            <w:vAlign w:val="center"/>
          </w:tcPr>
          <w:p w14:paraId="5DE39A55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业务服务层</w:t>
            </w:r>
          </w:p>
        </w:tc>
        <w:tc>
          <w:tcPr>
            <w:tcW w:w="2616" w:type="dxa"/>
            <w:vAlign w:val="center"/>
          </w:tcPr>
          <w:p w14:paraId="6B9D2AD2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通信与并发层</w:t>
            </w:r>
          </w:p>
        </w:tc>
        <w:tc>
          <w:tcPr>
            <w:tcW w:w="2616" w:type="dxa"/>
            <w:vAlign w:val="center"/>
          </w:tcPr>
          <w:p w14:paraId="573B388C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驱动层</w:t>
            </w:r>
          </w:p>
        </w:tc>
      </w:tr>
      <w:tr w14:paraId="0B605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16" w:type="dxa"/>
            <w:vAlign w:val="center"/>
          </w:tcPr>
          <w:p w14:paraId="5A3E8244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命令仲裁、状态调度、测量流程</w:t>
            </w:r>
          </w:p>
        </w:tc>
        <w:tc>
          <w:tcPr>
            <w:tcW w:w="2616" w:type="dxa"/>
            <w:vAlign w:val="center"/>
          </w:tcPr>
          <w:p w14:paraId="3FA36B8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传感器适配、运动、参数、故障、安全动作、输出</w:t>
            </w:r>
          </w:p>
        </w:tc>
        <w:tc>
          <w:tcPr>
            <w:tcW w:w="2616" w:type="dxa"/>
            <w:vAlign w:val="center"/>
          </w:tcPr>
          <w:p w14:paraId="6E510F8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CPU3 Modbus、CPU1/CPUW 接口、ISR/PendSV</w:t>
            </w:r>
          </w:p>
        </w:tc>
        <w:tc>
          <w:tcPr>
            <w:tcW w:w="2616" w:type="dxa"/>
            <w:vAlign w:val="center"/>
          </w:tcPr>
          <w:p w14:paraId="4DD846A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UART/RS485、SPI/I2C、GPIO/Timer、ADC/DMA、看门狗</w:t>
            </w:r>
          </w:p>
        </w:tc>
      </w:tr>
    </w:tbl>
    <w:p w14:paraId="2D541DB7">
      <w:pPr>
        <w:pStyle w:val="5"/>
        <w:rPr>
          <w:color w:val="auto"/>
        </w:rPr>
      </w:pPr>
      <w:bookmarkStart w:id="19" w:name="_Toc1626"/>
      <w:r>
        <w:rPr>
          <w:color w:val="auto"/>
        </w:rPr>
        <w:t>模块关系图</w:t>
      </w:r>
      <w:bookmarkEnd w:id="19"/>
    </w:p>
    <w:p w14:paraId="2CD233BF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28" o:spt="75" alt="" type="#_x0000_t75" style="height:230.6pt;width:470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p w14:paraId="3C3CE18C">
      <w:pPr>
        <w:pStyle w:val="5"/>
        <w:rPr>
          <w:color w:val="auto"/>
        </w:rPr>
      </w:pPr>
      <w:bookmarkStart w:id="20" w:name="_Toc13799"/>
      <w:r>
        <w:rPr>
          <w:color w:val="auto"/>
        </w:rPr>
        <w:t>外部接口</w:t>
      </w:r>
      <w:bookmarkEnd w:id="20"/>
    </w:p>
    <w:tbl>
      <w:tblPr>
        <w:tblStyle w:val="22"/>
        <w:tblW w:w="104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0"/>
        <w:gridCol w:w="1812"/>
        <w:gridCol w:w="2141"/>
        <w:gridCol w:w="4571"/>
      </w:tblGrid>
      <w:tr w14:paraId="05540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63" w:type="dxa"/>
            <w:vAlign w:val="center"/>
          </w:tcPr>
          <w:p w14:paraId="08D2448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1120" w:type="dxa"/>
            <w:vAlign w:val="center"/>
          </w:tcPr>
          <w:p w14:paraId="14ABE3E8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内部组件</w:t>
            </w:r>
          </w:p>
        </w:tc>
        <w:tc>
          <w:tcPr>
            <w:tcW w:w="1812" w:type="dxa"/>
            <w:vAlign w:val="center"/>
          </w:tcPr>
          <w:p w14:paraId="7B581EF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外部组件</w:t>
            </w:r>
          </w:p>
        </w:tc>
        <w:tc>
          <w:tcPr>
            <w:tcW w:w="2141" w:type="dxa"/>
            <w:vAlign w:val="center"/>
          </w:tcPr>
          <w:p w14:paraId="79899D0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接口</w:t>
            </w:r>
          </w:p>
        </w:tc>
        <w:tc>
          <w:tcPr>
            <w:tcW w:w="4571" w:type="dxa"/>
            <w:vAlign w:val="center"/>
          </w:tcPr>
          <w:p w14:paraId="1F4BD6A6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连接描述</w:t>
            </w:r>
          </w:p>
        </w:tc>
      </w:tr>
      <w:tr w14:paraId="1186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42A7D4E5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20" w:type="dxa"/>
            <w:vAlign w:val="center"/>
          </w:tcPr>
          <w:p w14:paraId="4778D740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传感器适配</w:t>
            </w:r>
          </w:p>
        </w:tc>
        <w:tc>
          <w:tcPr>
            <w:tcW w:w="1812" w:type="dxa"/>
            <w:vAlign w:val="center"/>
          </w:tcPr>
          <w:p w14:paraId="490828E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CPU1（DM4）</w:t>
            </w:r>
          </w:p>
        </w:tc>
        <w:tc>
          <w:tcPr>
            <w:tcW w:w="2141" w:type="dxa"/>
            <w:vAlign w:val="center"/>
          </w:tcPr>
          <w:p w14:paraId="0E83D855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逻辑串口/蓝牙透明传输</w:t>
            </w:r>
          </w:p>
        </w:tc>
        <w:tc>
          <w:tcPr>
            <w:tcW w:w="4571" w:type="dxa"/>
            <w:vAlign w:val="center"/>
          </w:tcPr>
          <w:p w14:paraId="770D4B1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接收 DM4 数据并执行安全或非安全协议。</w:t>
            </w:r>
          </w:p>
        </w:tc>
      </w:tr>
      <w:tr w14:paraId="3B69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3212B85A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120" w:type="dxa"/>
            <w:vAlign w:val="center"/>
          </w:tcPr>
          <w:p w14:paraId="260052E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CPU3 通信</w:t>
            </w:r>
          </w:p>
        </w:tc>
        <w:tc>
          <w:tcPr>
            <w:tcW w:w="1812" w:type="dxa"/>
            <w:vAlign w:val="center"/>
          </w:tcPr>
          <w:p w14:paraId="3DB2A4E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CPU3</w:t>
            </w:r>
          </w:p>
        </w:tc>
        <w:tc>
          <w:tcPr>
            <w:tcW w:w="2141" w:type="dxa"/>
            <w:vAlign w:val="center"/>
          </w:tcPr>
          <w:p w14:paraId="3E1349F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UART5/RS485</w:t>
            </w:r>
          </w:p>
        </w:tc>
        <w:tc>
          <w:tcPr>
            <w:tcW w:w="4571" w:type="dxa"/>
            <w:vAlign w:val="center"/>
          </w:tcPr>
          <w:p w14:paraId="0427D52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CPU2 提供测量结果、命令结果和故障状态。</w:t>
            </w:r>
          </w:p>
        </w:tc>
      </w:tr>
      <w:tr w14:paraId="4D784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2EDD3F4F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20" w:type="dxa"/>
            <w:vAlign w:val="center"/>
          </w:tcPr>
          <w:p w14:paraId="24B8CA1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扭力服务</w:t>
            </w:r>
          </w:p>
        </w:tc>
        <w:tc>
          <w:tcPr>
            <w:tcW w:w="1812" w:type="dxa"/>
            <w:vAlign w:val="center"/>
          </w:tcPr>
          <w:p w14:paraId="4BE6BE7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CPUW</w:t>
            </w:r>
          </w:p>
        </w:tc>
        <w:tc>
          <w:tcPr>
            <w:tcW w:w="2141" w:type="dxa"/>
            <w:vAlign w:val="center"/>
          </w:tcPr>
          <w:p w14:paraId="47D1B6D2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UART4，19200 8N1</w:t>
            </w:r>
          </w:p>
        </w:tc>
        <w:tc>
          <w:tcPr>
            <w:tcW w:w="4571" w:type="dxa"/>
            <w:vAlign w:val="center"/>
          </w:tcPr>
          <w:p w14:paraId="22A6D54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通过 UART4 被动接收 CPUW 主动发送的 22 字节 0x83 全量帧。</w:t>
            </w:r>
          </w:p>
        </w:tc>
      </w:tr>
      <w:tr w14:paraId="7DDD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4928C0E2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120" w:type="dxa"/>
            <w:vAlign w:val="center"/>
          </w:tcPr>
          <w:p w14:paraId="521FC65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运动控制</w:t>
            </w:r>
          </w:p>
        </w:tc>
        <w:tc>
          <w:tcPr>
            <w:tcW w:w="1812" w:type="dxa"/>
            <w:vAlign w:val="center"/>
          </w:tcPr>
          <w:p w14:paraId="4888AAB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电机、编码器</w:t>
            </w:r>
          </w:p>
        </w:tc>
        <w:tc>
          <w:tcPr>
            <w:tcW w:w="2141" w:type="dxa"/>
            <w:vAlign w:val="center"/>
          </w:tcPr>
          <w:p w14:paraId="719BD1C2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SPI/Timer/IO</w:t>
            </w:r>
          </w:p>
        </w:tc>
        <w:tc>
          <w:tcPr>
            <w:tcW w:w="4571" w:type="dxa"/>
            <w:vAlign w:val="center"/>
          </w:tcPr>
          <w:p w14:paraId="7DA9B1A7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执行回零、移动、跟随、停止和位置诊断。</w:t>
            </w:r>
          </w:p>
        </w:tc>
      </w:tr>
      <w:tr w14:paraId="1B2A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4332E737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20" w:type="dxa"/>
            <w:vAlign w:val="center"/>
          </w:tcPr>
          <w:p w14:paraId="40DAA8C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参数存储</w:t>
            </w:r>
          </w:p>
        </w:tc>
        <w:tc>
          <w:tcPr>
            <w:tcW w:w="1812" w:type="dxa"/>
            <w:vAlign w:val="center"/>
          </w:tcPr>
          <w:p w14:paraId="24AE2F1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FRAM</w:t>
            </w:r>
          </w:p>
        </w:tc>
        <w:tc>
          <w:tcPr>
            <w:tcW w:w="2141" w:type="dxa"/>
            <w:vAlign w:val="center"/>
          </w:tcPr>
          <w:p w14:paraId="0544C8A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SPI</w:t>
            </w:r>
          </w:p>
        </w:tc>
        <w:tc>
          <w:tcPr>
            <w:tcW w:w="4571" w:type="dxa"/>
            <w:vAlign w:val="center"/>
          </w:tcPr>
          <w:p w14:paraId="6364357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管理版本、A/B 镜像、CRC、迁移和写后读回。</w:t>
            </w:r>
          </w:p>
        </w:tc>
      </w:tr>
      <w:tr w14:paraId="01463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7C633DF0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1120" w:type="dxa"/>
            <w:vAlign w:val="center"/>
          </w:tcPr>
          <w:p w14:paraId="60F56167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物理输出</w:t>
            </w:r>
          </w:p>
        </w:tc>
        <w:tc>
          <w:tcPr>
            <w:tcW w:w="1812" w:type="dxa"/>
            <w:vAlign w:val="center"/>
          </w:tcPr>
          <w:p w14:paraId="2AC2A267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AO、HART、继电器</w:t>
            </w:r>
          </w:p>
        </w:tc>
        <w:tc>
          <w:tcPr>
            <w:tcW w:w="2141" w:type="dxa"/>
            <w:vAlign w:val="center"/>
          </w:tcPr>
          <w:p w14:paraId="74F4EFA7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SPI/IO</w:t>
            </w:r>
          </w:p>
        </w:tc>
        <w:tc>
          <w:tcPr>
            <w:tcW w:w="4571" w:type="dxa"/>
            <w:vAlign w:val="center"/>
          </w:tcPr>
          <w:p w14:paraId="662CB6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依据 CPU2 确认的测量结果和故障状态控制物理输出。</w:t>
            </w:r>
          </w:p>
        </w:tc>
      </w:tr>
    </w:tbl>
    <w:p w14:paraId="1AF8CF30">
      <w:pPr>
        <w:pStyle w:val="5"/>
        <w:rPr>
          <w:color w:val="auto"/>
        </w:rPr>
      </w:pPr>
      <w:bookmarkStart w:id="21" w:name="_Toc9854"/>
      <w:r>
        <w:rPr>
          <w:color w:val="auto"/>
        </w:rPr>
        <w:t>软件功能关系定义</w:t>
      </w:r>
      <w:bookmarkEnd w:id="21"/>
    </w:p>
    <w:tbl>
      <w:tblPr>
        <w:tblStyle w:val="22"/>
        <w:tblW w:w="9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834"/>
        <w:gridCol w:w="2228"/>
        <w:gridCol w:w="1107"/>
        <w:gridCol w:w="4790"/>
      </w:tblGrid>
      <w:tr w14:paraId="39B8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07" w:type="dxa"/>
            <w:vAlign w:val="center"/>
          </w:tcPr>
          <w:p w14:paraId="2D1B833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834" w:type="dxa"/>
            <w:vAlign w:val="center"/>
          </w:tcPr>
          <w:p w14:paraId="041813C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系统功能</w:t>
            </w:r>
          </w:p>
        </w:tc>
        <w:tc>
          <w:tcPr>
            <w:tcW w:w="2228" w:type="dxa"/>
            <w:vAlign w:val="center"/>
          </w:tcPr>
          <w:p w14:paraId="4A96DC1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软件功能</w:t>
            </w:r>
          </w:p>
        </w:tc>
        <w:tc>
          <w:tcPr>
            <w:tcW w:w="1107" w:type="dxa"/>
            <w:vAlign w:val="center"/>
          </w:tcPr>
          <w:p w14:paraId="326124C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分类</w:t>
            </w:r>
          </w:p>
        </w:tc>
        <w:tc>
          <w:tcPr>
            <w:tcW w:w="4790" w:type="dxa"/>
            <w:vAlign w:val="center"/>
          </w:tcPr>
          <w:p w14:paraId="17520AF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功能描述</w:t>
            </w:r>
          </w:p>
        </w:tc>
      </w:tr>
      <w:tr w14:paraId="6A2D8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70E8917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834" w:type="dxa"/>
            <w:vAlign w:val="center"/>
          </w:tcPr>
          <w:p w14:paraId="36F062A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初始化</w:t>
            </w:r>
          </w:p>
        </w:tc>
        <w:tc>
          <w:tcPr>
            <w:tcW w:w="2228" w:type="dxa"/>
            <w:vAlign w:val="center"/>
          </w:tcPr>
          <w:p w14:paraId="2790BF0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参数、外设和传感器初始化</w:t>
            </w:r>
          </w:p>
        </w:tc>
        <w:tc>
          <w:tcPr>
            <w:tcW w:w="1107" w:type="dxa"/>
            <w:vAlign w:val="center"/>
          </w:tcPr>
          <w:p w14:paraId="5DA32D9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4F1DB7F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建立电源、参数、通信、输出、运动和故障初始状态。</w:t>
            </w:r>
          </w:p>
        </w:tc>
      </w:tr>
      <w:tr w14:paraId="5262E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4E7FF4A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834" w:type="dxa"/>
            <w:vAlign w:val="center"/>
          </w:tcPr>
          <w:p w14:paraId="6890FAD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命令</w:t>
            </w:r>
          </w:p>
        </w:tc>
        <w:tc>
          <w:tcPr>
            <w:tcW w:w="2228" w:type="dxa"/>
            <w:vAlign w:val="center"/>
          </w:tcPr>
          <w:p w14:paraId="5CB422D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命令仲裁和完成反馈</w:t>
            </w:r>
          </w:p>
        </w:tc>
        <w:tc>
          <w:tcPr>
            <w:tcW w:w="1107" w:type="dxa"/>
            <w:vAlign w:val="center"/>
          </w:tcPr>
          <w:p w14:paraId="2FD6FD2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76B2A68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每个调度周期只接受一个主命令；命令结束后返回成功、失败或拒绝原因。</w:t>
            </w:r>
          </w:p>
        </w:tc>
      </w:tr>
      <w:tr w14:paraId="527D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387AFB1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34" w:type="dxa"/>
            <w:vAlign w:val="center"/>
          </w:tcPr>
          <w:p w14:paraId="2753683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测量</w:t>
            </w:r>
          </w:p>
        </w:tc>
        <w:tc>
          <w:tcPr>
            <w:tcW w:w="2228" w:type="dxa"/>
            <w:vAlign w:val="center"/>
          </w:tcPr>
          <w:p w14:paraId="56B7ADB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界位及其他测量</w:t>
            </w:r>
          </w:p>
        </w:tc>
        <w:tc>
          <w:tcPr>
            <w:tcW w:w="1107" w:type="dxa"/>
            <w:vAlign w:val="center"/>
          </w:tcPr>
          <w:p w14:paraId="2E960DD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安全/非安全</w:t>
            </w:r>
          </w:p>
        </w:tc>
        <w:tc>
          <w:tcPr>
            <w:tcW w:w="4790" w:type="dxa"/>
            <w:vAlign w:val="center"/>
          </w:tcPr>
          <w:p w14:paraId="58303AD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界位安全测量只有在 SIL 配置及全部前置条件通过后，结果才可作为安全相关测量值使用。</w:t>
            </w:r>
          </w:p>
        </w:tc>
      </w:tr>
      <w:tr w14:paraId="3453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11E7670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34" w:type="dxa"/>
            <w:vAlign w:val="center"/>
          </w:tcPr>
          <w:p w14:paraId="41F0D7A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运动</w:t>
            </w:r>
          </w:p>
        </w:tc>
        <w:tc>
          <w:tcPr>
            <w:tcW w:w="2228" w:type="dxa"/>
            <w:vAlign w:val="center"/>
          </w:tcPr>
          <w:p w14:paraId="376694D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电机、编码器和扭力</w:t>
            </w:r>
          </w:p>
        </w:tc>
        <w:tc>
          <w:tcPr>
            <w:tcW w:w="1107" w:type="dxa"/>
            <w:vAlign w:val="center"/>
          </w:tcPr>
          <w:p w14:paraId="1D01D49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199812F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控制移动和停止，并监视位置、编码器和扭力。</w:t>
            </w:r>
          </w:p>
        </w:tc>
      </w:tr>
      <w:tr w14:paraId="6803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6220B95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34" w:type="dxa"/>
            <w:vAlign w:val="center"/>
          </w:tcPr>
          <w:p w14:paraId="59CC77F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参数</w:t>
            </w:r>
          </w:p>
        </w:tc>
        <w:tc>
          <w:tcPr>
            <w:tcW w:w="2228" w:type="dxa"/>
            <w:vAlign w:val="center"/>
          </w:tcPr>
          <w:p w14:paraId="1B69942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FRAM 持久化</w:t>
            </w:r>
          </w:p>
        </w:tc>
        <w:tc>
          <w:tcPr>
            <w:tcW w:w="1107" w:type="dxa"/>
            <w:vAlign w:val="center"/>
          </w:tcPr>
          <w:p w14:paraId="5FD2B81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6A2B982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管理参数版本、镜像、CRC、迁移和读回。</w:t>
            </w:r>
          </w:p>
        </w:tc>
      </w:tr>
      <w:tr w14:paraId="26A3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25E192D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34" w:type="dxa"/>
            <w:vAlign w:val="center"/>
          </w:tcPr>
          <w:p w14:paraId="49B3DFE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故障</w:t>
            </w:r>
          </w:p>
        </w:tc>
        <w:tc>
          <w:tcPr>
            <w:tcW w:w="2228" w:type="dxa"/>
            <w:vAlign w:val="center"/>
          </w:tcPr>
          <w:p w14:paraId="1011E77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检测、锁存和恢复</w:t>
            </w:r>
          </w:p>
        </w:tc>
        <w:tc>
          <w:tcPr>
            <w:tcW w:w="1107" w:type="dxa"/>
            <w:vAlign w:val="center"/>
          </w:tcPr>
          <w:p w14:paraId="7F903C2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11FD732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保留具体故障并执行停止运动等安全动作。</w:t>
            </w:r>
          </w:p>
        </w:tc>
      </w:tr>
      <w:tr w14:paraId="5596C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35B2CFE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34" w:type="dxa"/>
            <w:vAlign w:val="center"/>
          </w:tcPr>
          <w:p w14:paraId="08A6CE1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输出</w:t>
            </w:r>
          </w:p>
        </w:tc>
        <w:tc>
          <w:tcPr>
            <w:tcW w:w="2228" w:type="dxa"/>
            <w:vAlign w:val="center"/>
          </w:tcPr>
          <w:p w14:paraId="5F14307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AO/HART/继电器</w:t>
            </w:r>
          </w:p>
        </w:tc>
        <w:tc>
          <w:tcPr>
            <w:tcW w:w="1107" w:type="dxa"/>
            <w:vAlign w:val="center"/>
          </w:tcPr>
          <w:p w14:paraId="7FF629F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2FD27F0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根据 CPU2 确认的测量结果和故障状态控制物理输出。</w:t>
            </w:r>
          </w:p>
        </w:tc>
      </w:tr>
      <w:tr w14:paraId="28EA6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2C008F5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834" w:type="dxa"/>
            <w:vAlign w:val="center"/>
          </w:tcPr>
          <w:p w14:paraId="7B6E462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通信</w:t>
            </w:r>
          </w:p>
        </w:tc>
        <w:tc>
          <w:tcPr>
            <w:tcW w:w="2228" w:type="dxa"/>
            <w:vAlign w:val="center"/>
          </w:tcPr>
          <w:p w14:paraId="6FE543F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CPU1、CPU3、CPUW 接口</w:t>
            </w:r>
          </w:p>
        </w:tc>
        <w:tc>
          <w:tcPr>
            <w:tcW w:w="1107" w:type="dxa"/>
            <w:vAlign w:val="center"/>
          </w:tcPr>
          <w:p w14:paraId="33E9D96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接口服务</w:t>
            </w:r>
          </w:p>
        </w:tc>
        <w:tc>
          <w:tcPr>
            <w:tcW w:w="4790" w:type="dxa"/>
            <w:vAlign w:val="center"/>
          </w:tcPr>
          <w:p w14:paraId="422A4E5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接收数据、发布状态并处理命令和确认。</w:t>
            </w:r>
          </w:p>
        </w:tc>
      </w:tr>
    </w:tbl>
    <w:p w14:paraId="005DC692">
      <w:pPr>
        <w:pStyle w:val="4"/>
        <w:rPr>
          <w:color w:val="auto"/>
        </w:rPr>
      </w:pPr>
      <w:bookmarkStart w:id="22" w:name="_Toc28912"/>
      <w:r>
        <w:rPr>
          <w:color w:val="auto"/>
        </w:rPr>
        <w:t>状态与转移</w:t>
      </w:r>
      <w:bookmarkEnd w:id="22"/>
    </w:p>
    <w:p w14:paraId="021601C3">
      <w:pPr>
        <w:pStyle w:val="5"/>
        <w:rPr>
          <w:color w:val="auto"/>
        </w:rPr>
      </w:pPr>
      <w:bookmarkStart w:id="23" w:name="_Toc12071"/>
      <w:r>
        <w:rPr>
          <w:color w:val="auto"/>
        </w:rPr>
        <w:t>状态定义</w:t>
      </w:r>
      <w:bookmarkEnd w:id="23"/>
    </w:p>
    <w:p w14:paraId="0FD5AE7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DSM-Ⅱ系列储罐在线自动计量仪的状态定义如下表。各模式的具体电流与继电器值由安全需求及输出接口设计规定，本节仅定义状态关系。</w:t>
      </w:r>
    </w:p>
    <w:tbl>
      <w:tblPr>
        <w:tblStyle w:val="22"/>
        <w:tblW w:w="106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6378"/>
        <w:gridCol w:w="1472"/>
        <w:gridCol w:w="1472"/>
      </w:tblGrid>
      <w:tr w14:paraId="07F5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E57CC87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/>
                <w:sz w:val="21"/>
                <w:vertAlign w:val="baseline"/>
                <w:lang w:val="en-US" w:eastAsia="zh-CN"/>
              </w:rPr>
              <w:t>工作模式</w:t>
            </w:r>
          </w:p>
        </w:tc>
        <w:tc>
          <w:tcPr>
            <w:tcW w:w="0" w:type="auto"/>
            <w:vAlign w:val="center"/>
          </w:tcPr>
          <w:p w14:paraId="252910CC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/>
                <w:sz w:val="21"/>
                <w:vertAlign w:val="baseline"/>
                <w:lang w:val="en-US" w:eastAsia="zh-CN"/>
              </w:rPr>
              <w:t>描述</w:t>
            </w:r>
          </w:p>
        </w:tc>
        <w:tc>
          <w:tcPr>
            <w:tcW w:w="0" w:type="auto"/>
            <w:vAlign w:val="center"/>
          </w:tcPr>
          <w:p w14:paraId="730D77E2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/>
                <w:sz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1472" w:type="dxa"/>
            <w:vAlign w:val="center"/>
          </w:tcPr>
          <w:p w14:paraId="43DF2C5C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/>
                <w:sz w:val="21"/>
                <w:vertAlign w:val="baseline"/>
                <w:lang w:val="en-US" w:eastAsia="zh-CN"/>
              </w:rPr>
              <w:t>备注</w:t>
            </w:r>
          </w:p>
        </w:tc>
      </w:tr>
      <w:tr w14:paraId="26DA3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CB6426B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初始化模式</w:t>
            </w:r>
          </w:p>
        </w:tc>
        <w:tc>
          <w:tcPr>
            <w:tcW w:w="0" w:type="auto"/>
            <w:vAlign w:val="center"/>
          </w:tcPr>
          <w:p w14:paraId="60081E1E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上电或软件重启后执行初始化与安全自检；安全输出先进入定义的安全态。</w:t>
            </w:r>
          </w:p>
        </w:tc>
        <w:tc>
          <w:tcPr>
            <w:tcW w:w="0" w:type="auto"/>
            <w:vAlign w:val="center"/>
          </w:tcPr>
          <w:p w14:paraId="420C4FA1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定义的安全状态输出</w:t>
            </w:r>
          </w:p>
        </w:tc>
        <w:tc>
          <w:tcPr>
            <w:tcW w:w="1472" w:type="dxa"/>
            <w:vAlign w:val="center"/>
          </w:tcPr>
          <w:p w14:paraId="5B07FC6C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启动／重启</w:t>
            </w:r>
          </w:p>
        </w:tc>
      </w:tr>
      <w:tr w14:paraId="429B8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C9ADB6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配置模式</w:t>
            </w:r>
          </w:p>
        </w:tc>
        <w:tc>
          <w:tcPr>
            <w:tcW w:w="0" w:type="auto"/>
            <w:vAlign w:val="center"/>
          </w:tcPr>
          <w:p w14:paraId="020F10D8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默认待命，接收命令并配置参数；安全参数默认锁定，独立安全监督持续有效。</w:t>
            </w:r>
          </w:p>
        </w:tc>
        <w:tc>
          <w:tcPr>
            <w:tcW w:w="0" w:type="auto"/>
            <w:vAlign w:val="center"/>
          </w:tcPr>
          <w:p w14:paraId="2065300E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配置态受控输出</w:t>
            </w:r>
          </w:p>
        </w:tc>
        <w:tc>
          <w:tcPr>
            <w:tcW w:w="1472" w:type="dxa"/>
            <w:vAlign w:val="center"/>
          </w:tcPr>
          <w:p w14:paraId="60A46ADA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默认待命</w:t>
            </w:r>
          </w:p>
        </w:tc>
      </w:tr>
      <w:tr w14:paraId="2D1E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DD739A9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界位安全测量模式</w:t>
            </w:r>
          </w:p>
        </w:tc>
        <w:tc>
          <w:tcPr>
            <w:tcW w:w="0" w:type="auto"/>
            <w:vAlign w:val="center"/>
          </w:tcPr>
          <w:p w14:paraId="47789B8F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仅在 SIL 配置中 DM4 安全会话有效且入口检查通过时执行油水界位定位／跟随。</w:t>
            </w:r>
          </w:p>
        </w:tc>
        <w:tc>
          <w:tcPr>
            <w:tcW w:w="0" w:type="auto"/>
            <w:vAlign w:val="center"/>
          </w:tcPr>
          <w:p w14:paraId="41BE109B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有效界位安全输出</w:t>
            </w:r>
          </w:p>
        </w:tc>
        <w:tc>
          <w:tcPr>
            <w:tcW w:w="1472" w:type="dxa"/>
            <w:vAlign w:val="center"/>
          </w:tcPr>
          <w:p w14:paraId="128AFC3A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唯一安全测量</w:t>
            </w:r>
          </w:p>
        </w:tc>
      </w:tr>
      <w:tr w14:paraId="5DFD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65E40C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其他测量模式</w:t>
            </w:r>
          </w:p>
        </w:tc>
        <w:tc>
          <w:tcPr>
            <w:tcW w:w="0" w:type="auto"/>
            <w:vAlign w:val="center"/>
          </w:tcPr>
          <w:p w14:paraId="71C6C3DA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执行液面、密度、温度、罐底等非安全测量；与界位安全测量互斥执行。</w:t>
            </w:r>
          </w:p>
        </w:tc>
        <w:tc>
          <w:tcPr>
            <w:tcW w:w="0" w:type="auto"/>
            <w:vAlign w:val="center"/>
          </w:tcPr>
          <w:p w14:paraId="2DC030FF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非安全测量输出</w:t>
            </w:r>
          </w:p>
        </w:tc>
        <w:tc>
          <w:tcPr>
            <w:tcW w:w="1472" w:type="dxa"/>
            <w:vAlign w:val="center"/>
          </w:tcPr>
          <w:p w14:paraId="5604A58F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普通错误返回配置</w:t>
            </w:r>
          </w:p>
        </w:tc>
      </w:tr>
      <w:tr w14:paraId="41E88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38CB8C4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安全受控维护状态</w:t>
            </w:r>
          </w:p>
        </w:tc>
        <w:tc>
          <w:tcPr>
            <w:tcW w:w="0" w:type="auto"/>
            <w:vAlign w:val="center"/>
          </w:tcPr>
          <w:p w14:paraId="7DE0DCB1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授权且替代保护已建立后进入；从安全故障状态转入时故障锁存和安全输出持续有效，不视为故障恢复。</w:t>
            </w:r>
          </w:p>
        </w:tc>
        <w:tc>
          <w:tcPr>
            <w:tcW w:w="0" w:type="auto"/>
            <w:vAlign w:val="center"/>
          </w:tcPr>
          <w:p w14:paraId="3CABB589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定义的受控安全输出</w:t>
            </w:r>
          </w:p>
        </w:tc>
        <w:tc>
          <w:tcPr>
            <w:tcW w:w="1472" w:type="dxa"/>
            <w:vAlign w:val="center"/>
          </w:tcPr>
          <w:p w14:paraId="7949B9A0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安全功能可能不可用</w:t>
            </w:r>
          </w:p>
        </w:tc>
      </w:tr>
      <w:tr w14:paraId="52401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0" w:type="dxa"/>
            <w:vAlign w:val="center"/>
          </w:tcPr>
          <w:p w14:paraId="3FB3E229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安全故障状态</w:t>
            </w:r>
          </w:p>
        </w:tc>
        <w:tc>
          <w:tcPr>
            <w:tcW w:w="6378" w:type="dxa"/>
            <w:vAlign w:val="center"/>
          </w:tcPr>
          <w:p w14:paraId="5A91CC8D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安全相关故障时停止运动、界位数据无效并执行定义的安全输出。</w:t>
            </w:r>
          </w:p>
        </w:tc>
        <w:tc>
          <w:tcPr>
            <w:tcW w:w="1472" w:type="dxa"/>
            <w:vAlign w:val="center"/>
          </w:tcPr>
          <w:p w14:paraId="054A7F98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定义的安全状态输出</w:t>
            </w:r>
          </w:p>
        </w:tc>
        <w:tc>
          <w:tcPr>
            <w:tcW w:w="1472" w:type="dxa"/>
            <w:vAlign w:val="center"/>
          </w:tcPr>
          <w:p w14:paraId="0789F903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sz w:val="21"/>
                <w:vertAlign w:val="baseline"/>
                <w:lang w:val="en-US" w:eastAsia="zh-CN"/>
              </w:rPr>
              <w:t>故障响应</w:t>
            </w:r>
          </w:p>
        </w:tc>
      </w:tr>
    </w:tbl>
    <w:p w14:paraId="2B9AA304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320DE902">
      <w:pPr>
        <w:pStyle w:val="3"/>
      </w:pPr>
    </w:p>
    <w:p w14:paraId="7A9CD025">
      <w:pPr>
        <w:pStyle w:val="5"/>
        <w:rPr>
          <w:color w:val="auto"/>
        </w:rPr>
      </w:pPr>
      <w:bookmarkStart w:id="24" w:name="_Toc10426"/>
      <w:r>
        <w:rPr>
          <w:rFonts w:hint="eastAsia"/>
          <w:color w:val="auto"/>
          <w:lang w:eastAsia="zh-CN"/>
        </w:rPr>
        <w:t>状态转换描述</w:t>
      </w:r>
      <w:bookmarkEnd w:id="24"/>
    </w:p>
    <w:p w14:paraId="4E7AEFCC">
      <w:pPr>
        <w:pStyle w:val="3"/>
        <w:ind w:left="0" w:leftChars="0" w:firstLine="0" w:firstLineChars="0"/>
        <w:jc w:val="both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29" o:spt="75" alt="" type="#_x0000_t75" style="height:314.2pt;width:491.6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20">
            <o:LockedField>false</o:LockedField>
          </o:OLEObject>
        </w:object>
      </w:r>
    </w:p>
    <w:p w14:paraId="7AD19F19">
      <w:pPr>
        <w:keepLines/>
        <w:spacing w:before="120" w:after="120"/>
        <w:jc w:val="center"/>
        <w:rPr>
          <w:rFonts w:hint="eastAsia"/>
        </w:rPr>
      </w:pPr>
    </w:p>
    <w:p w14:paraId="788795DF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初始化模式：仪表上电或软件重启后执行初始化与安全自检，安全输出先进入定义的安全态。全部检查通过后进入配置模式；关键自检失败时进入安全故障状态。只有上电、软件重启或必须重启的严重故障才重新执行启动序列。</w:t>
      </w:r>
    </w:p>
    <w:p w14:paraId="5FBCF5D2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配置模式：配置模式是默认待命状态，兼具命令接收和参数配置功能；安全参数默认锁定，独立安全监督持续有效。满足 DM4 安全会话和入口检查条件时进入界位安全测量；界位安全功能未被要求时可进入其他测量；授权且替代保护已建立后可进入安全受控维护状态。</w:t>
      </w:r>
    </w:p>
    <w:p w14:paraId="0BDB85F7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界位安全测量模式：本模式是唯一安全测量模式，用于油水界位定位／跟随。SIL 配置只允许 DM4 安全协议在安全会话有效且入口检查通过后进入；DM4 非安全协议不得形成安全有效结果。正常结束或受控停止后返回配置模式；安全测量故障时进入安全故障状态。</w:t>
      </w:r>
    </w:p>
    <w:p w14:paraId="3ACF5B2B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其他测量模式：液面、密度、温度、罐底等均为非安全测量。当前 CPU2 单命令同步执行，界位安全测量与其他测量共享电机、编码器和传感器资源，二者不得并行。完成或普通业务错误后返回配置模式；若故障影响共享安全资源或安全输出，则进入安全故障状态。</w:t>
      </w:r>
    </w:p>
    <w:p w14:paraId="2CEA6670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安全受控维护状态：维护活动本身不承担安全测量，维护期间界位安全功能可能不可用。只有经授权且替代保护已建立才可从配置模式或安全故障状态进入；从安全故障状态进入时，故障锁存和安全输出持续有效，不视为故障恢复。退出前必须完成配置重锁、自检和界位功能复验，通过后返回配置模式，恢复检查失败则进入安全故障状态。</w:t>
      </w:r>
    </w:p>
    <w:p w14:paraId="2E192F5A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安全故障状态：关键自检失败、界位安全测量故障、共享安全资源或安全输出故障、维护恢复检查失败，以及独立安全监督检测到的安全相关故障，均进入本状态。在批准 FTTI 内停止运动、使界位数据无效并执行定义的安全输出；授权、替代保护已建立且故障锁存和安全输出持续有效时，可进入安全受控维护状态，该转换不视为故障恢复。故障消除、人工复位、诊断和复验通过后返回配置模式，仅必须重启的严重故障返回上电／软件重启流程。</w:t>
      </w:r>
    </w:p>
    <w:p w14:paraId="70815946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独立安全监督与运行约束：安全监督层贯穿全部状态但不是业务模式，覆盖 CPU、供电、DM4 安全通信、运动与位置、安全参数和安全输出。本图按界位安全功能按需执行建立；若批准 SRS 后续要求持续在线，其他测量必须改经维护／旁路和替代保护进入。本状态架构按 SIL2 目标设计，不等同于已满足 SIL2。</w:t>
      </w:r>
    </w:p>
    <w:p w14:paraId="0AD6033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br w:type="page"/>
      </w:r>
    </w:p>
    <w:p w14:paraId="6F3B746B">
      <w:pPr>
        <w:rPr>
          <w:rFonts w:hint="eastAsia"/>
        </w:rPr>
      </w:pPr>
    </w:p>
    <w:tbl>
      <w:tblPr>
        <w:tblStyle w:val="22"/>
        <w:tblW w:w="10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686"/>
        <w:gridCol w:w="8578"/>
      </w:tblGrid>
      <w:tr w14:paraId="36DD6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FC934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华文楷体"/>
                <w:b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eastAsia="华文楷体"/>
                <w:b/>
                <w:sz w:val="21"/>
                <w:szCs w:val="21"/>
                <w:vertAlign w:val="baseline"/>
                <w:lang w:eastAsia="zh-CN"/>
              </w:rPr>
              <w:t>名称</w:t>
            </w:r>
          </w:p>
        </w:tc>
        <w:tc>
          <w:tcPr>
            <w:tcW w:w="0" w:type="auto"/>
            <w:vAlign w:val="center"/>
          </w:tcPr>
          <w:p w14:paraId="41CDE0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华文楷体"/>
                <w:b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eastAsia="华文楷体"/>
                <w:b/>
                <w:sz w:val="21"/>
                <w:szCs w:val="21"/>
                <w:vertAlign w:val="baseline"/>
                <w:lang w:eastAsia="zh-CN"/>
              </w:rPr>
              <w:t>属性</w:t>
            </w:r>
          </w:p>
        </w:tc>
        <w:tc>
          <w:tcPr>
            <w:tcW w:w="8578" w:type="dxa"/>
            <w:vAlign w:val="center"/>
          </w:tcPr>
          <w:p w14:paraId="2C0A32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华文楷体"/>
                <w:b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eastAsia="华文楷体"/>
                <w:b/>
                <w:sz w:val="21"/>
                <w:szCs w:val="21"/>
                <w:vertAlign w:val="baseline"/>
                <w:lang w:eastAsia="zh-CN"/>
              </w:rPr>
              <w:t>介绍</w:t>
            </w:r>
          </w:p>
        </w:tc>
      </w:tr>
      <w:tr w14:paraId="5D23B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4584B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初始化模式</w:t>
            </w:r>
          </w:p>
        </w:tc>
        <w:tc>
          <w:tcPr>
            <w:tcW w:w="0" w:type="auto"/>
            <w:vAlign w:val="center"/>
          </w:tcPr>
          <w:p w14:paraId="5EB74EE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190B079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设备上电、软件重启，或安全故障状态判定为必须重启时进入。</w:t>
            </w:r>
          </w:p>
        </w:tc>
      </w:tr>
      <w:tr w14:paraId="56554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5C000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3CD2EB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722D2DF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全部初始化和安全自检通过后进入配置模式；关键自检失败时进入安全故障状态。</w:t>
            </w:r>
          </w:p>
        </w:tc>
      </w:tr>
      <w:tr w14:paraId="0478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60DB7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EA3C0F2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3A490113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启动时先使安全输出进入定义的安全态，再建立参数、通信、运动、传感器和输出条件。</w:t>
            </w:r>
          </w:p>
        </w:tc>
      </w:tr>
      <w:tr w14:paraId="77A0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007B52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配置模式</w:t>
            </w:r>
          </w:p>
        </w:tc>
        <w:tc>
          <w:tcPr>
            <w:tcW w:w="0" w:type="auto"/>
            <w:vAlign w:val="center"/>
          </w:tcPr>
          <w:p w14:paraId="6E44FCB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64159DC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初始化成功；界位安全测量正常结束或受控停止；其他测量完成或普通业务错误；维护重锁、自检和界位复验通过；安全故障复位、诊断和复验通过。</w:t>
            </w:r>
          </w:p>
        </w:tc>
      </w:tr>
      <w:tr w14:paraId="550C5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A2808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43B37F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443893B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满足安全入口门禁时进入界位安全测量；界位功能未被要求时进入其他测量；授权并建立替代保护后进入维护；发生安全相关故障时进入安全故障状态。</w:t>
            </w:r>
          </w:p>
        </w:tc>
      </w:tr>
      <w:tr w14:paraId="320F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A538EE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DEB5F94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7EEC94B8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默认待命状态，兼具命令接收和参数配置；安全参数默认锁定，独立安全监督持续有效。</w:t>
            </w:r>
          </w:p>
        </w:tc>
      </w:tr>
      <w:tr w14:paraId="50D6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214388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界位安全测量模式</w:t>
            </w:r>
          </w:p>
        </w:tc>
        <w:tc>
          <w:tcPr>
            <w:tcW w:w="0" w:type="auto"/>
            <w:vAlign w:val="center"/>
          </w:tcPr>
          <w:p w14:paraId="72A0D68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7C821EF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配置模式下收到界位测量命令，SIL 配置采用 DM4 安全协议，安全会话有效且入口检查通过。</w:t>
            </w:r>
          </w:p>
        </w:tc>
      </w:tr>
      <w:tr w14:paraId="7EF8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BE5C8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B19445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1547D4C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正常结束或受控停止后返回配置模式；安全测量故障时进入安全故障状态。</w:t>
            </w:r>
          </w:p>
        </w:tc>
      </w:tr>
      <w:tr w14:paraId="5166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504037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8E28040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0D173BD7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唯一安全测量模式，用于油水界位定位／跟随；</w:t>
            </w:r>
            <w:bookmarkStart w:id="43" w:name="_GoBack"/>
            <w:bookmarkEnd w:id="43"/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 xml:space="preserve"> DM4 非安全协议不得形成安全有效结果。</w:t>
            </w:r>
          </w:p>
        </w:tc>
      </w:tr>
      <w:tr w14:paraId="0B7F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FCFDE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其他测量模式</w:t>
            </w:r>
          </w:p>
        </w:tc>
        <w:tc>
          <w:tcPr>
            <w:tcW w:w="0" w:type="auto"/>
            <w:vAlign w:val="center"/>
          </w:tcPr>
          <w:p w14:paraId="521BB24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56EBB5C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配置模式下界位安全功能当前未被要求，且共享电机、编码器和传感器资源可独占使用。</w:t>
            </w:r>
          </w:p>
        </w:tc>
      </w:tr>
      <w:tr w14:paraId="532D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558A8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DA082C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05398BB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完成或普通业务错误后返回配置模式；影响共享安全资源或安全输出时进入安全故障状态。</w:t>
            </w:r>
          </w:p>
        </w:tc>
      </w:tr>
      <w:tr w14:paraId="3778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D1788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E9AD095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0DCF9B9C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液面、密度、温度、罐底等均为非安全测量；与界位安全测量不得并行，也不得发布界位安全有效结果。</w:t>
            </w:r>
          </w:p>
        </w:tc>
      </w:tr>
      <w:tr w14:paraId="7218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A7D62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安全受控维护状态</w:t>
            </w:r>
          </w:p>
        </w:tc>
        <w:tc>
          <w:tcPr>
            <w:tcW w:w="0" w:type="auto"/>
            <w:vAlign w:val="center"/>
          </w:tcPr>
          <w:p w14:paraId="3353E8D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3E83130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从配置模式或安全故障状态经授权进入，并已建立经批准的替代保护；从安全故障状态进入时，故障锁存和安全输出持续有效，不视为故障恢复。</w:t>
            </w:r>
          </w:p>
        </w:tc>
      </w:tr>
      <w:tr w14:paraId="0956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02996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83FBF0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1F6E45D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配置重锁、自检和界位功能复验通过后返回配置模式；恢复检查失败时进入安全故障状态。</w:t>
            </w:r>
          </w:p>
        </w:tc>
      </w:tr>
      <w:tr w14:paraId="32EC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E50EB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83485F7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634A150E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维护期间安全功能可能不可用，不得宣告界位安全功能有效；替代保护和受控安全输出持续有效。</w:t>
            </w:r>
          </w:p>
        </w:tc>
      </w:tr>
      <w:tr w14:paraId="63B2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759DB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安全故障状态</w:t>
            </w:r>
          </w:p>
        </w:tc>
        <w:tc>
          <w:tcPr>
            <w:tcW w:w="0" w:type="auto"/>
            <w:vAlign w:val="center"/>
          </w:tcPr>
          <w:p w14:paraId="61BB66D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0010E80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关键自检失败；界位安全测量故障；其他测量影响共享安全资源或安全输出；维护恢复失败；独立安全监督检测到安全相关故障。</w:t>
            </w:r>
          </w:p>
        </w:tc>
      </w:tr>
      <w:tr w14:paraId="1066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FEB1B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B8737B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4E8436D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授权、替代保护已建立且故障锁存和安全输出持续有效时，可进入安全受控维护状态，该转换不视为故障恢复；故障消除、人工复位、诊断和复验通过后进入配置模式；仅必须重启的严重故障返回上电／软件重启流程。</w:t>
            </w:r>
          </w:p>
        </w:tc>
      </w:tr>
      <w:tr w14:paraId="31A6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2" w:type="dxa"/>
            <w:vMerge w:val="continue"/>
            <w:vAlign w:val="center"/>
          </w:tcPr>
          <w:p w14:paraId="205B335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</w:rPr>
            </w:pPr>
          </w:p>
        </w:tc>
        <w:tc>
          <w:tcPr>
            <w:tcW w:w="686" w:type="dxa"/>
            <w:vAlign w:val="center"/>
          </w:tcPr>
          <w:p w14:paraId="68219511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6D053C52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1"/>
                <w:szCs w:val="21"/>
                <w:vertAlign w:val="baseline"/>
                <w:lang w:eastAsia="zh-CN"/>
              </w:rPr>
              <w:t>在批准 FTTI 内停止运动、使界位数据无效并执行定义的安全输出；具体时限和输出由批准 SRS 冻结。</w:t>
            </w:r>
          </w:p>
        </w:tc>
      </w:tr>
    </w:tbl>
    <w:p w14:paraId="230267E8">
      <w:pPr>
        <w:spacing w:before="0" w:after="0" w:line="20" w:lineRule="exact"/>
        <w:rPr>
          <w:rFonts w:hint="eastAsia"/>
          <w:sz w:val="2"/>
          <w:szCs w:val="2"/>
        </w:rPr>
      </w:pPr>
    </w:p>
    <w:p w14:paraId="420C3697">
      <w:pPr>
        <w:pStyle w:val="2"/>
        <w:bidi w:val="0"/>
        <w:rPr>
          <w:color w:val="auto"/>
        </w:rPr>
      </w:pPr>
      <w:bookmarkStart w:id="25" w:name="_Toc2274"/>
      <w:r>
        <w:rPr>
          <w:color w:val="auto"/>
        </w:rPr>
        <w:t>CPU3 的软件架构</w:t>
      </w:r>
      <w:bookmarkEnd w:id="25"/>
    </w:p>
    <w:p w14:paraId="2A8A1D80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CPU3 负责显示、按键、CPU2 数据同步和外部数字协议适配。只有协议版本匹配且完整同步后，CPU3 才对外提供业务数据。</w:t>
      </w:r>
    </w:p>
    <w:p w14:paraId="1A1FC093">
      <w:pPr>
        <w:pStyle w:val="4"/>
        <w:rPr>
          <w:color w:val="auto"/>
        </w:rPr>
      </w:pPr>
      <w:bookmarkStart w:id="26" w:name="_Toc11027"/>
      <w:r>
        <w:rPr>
          <w:color w:val="auto"/>
        </w:rPr>
        <w:t>静态结构</w:t>
      </w:r>
      <w:bookmarkEnd w:id="26"/>
    </w:p>
    <w:p w14:paraId="45E5284F">
      <w:pPr>
        <w:pStyle w:val="5"/>
        <w:rPr>
          <w:color w:val="auto"/>
        </w:rPr>
      </w:pPr>
      <w:bookmarkStart w:id="27" w:name="_Toc10034"/>
      <w:r>
        <w:rPr>
          <w:color w:val="auto"/>
        </w:rPr>
        <w:t>软件架构图</w:t>
      </w:r>
      <w:bookmarkEnd w:id="27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0658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16" w:type="dxa"/>
            <w:vAlign w:val="center"/>
          </w:tcPr>
          <w:p w14:paraId="2DA6F107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应用层</w:t>
            </w:r>
          </w:p>
        </w:tc>
        <w:tc>
          <w:tcPr>
            <w:tcW w:w="2616" w:type="dxa"/>
            <w:vAlign w:val="center"/>
          </w:tcPr>
          <w:p w14:paraId="523ACB65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数据与事务层</w:t>
            </w:r>
          </w:p>
        </w:tc>
        <w:tc>
          <w:tcPr>
            <w:tcW w:w="2616" w:type="dxa"/>
            <w:vAlign w:val="center"/>
          </w:tcPr>
          <w:p w14:paraId="2C7B993B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协议与调度层</w:t>
            </w:r>
          </w:p>
        </w:tc>
        <w:tc>
          <w:tcPr>
            <w:tcW w:w="2616" w:type="dxa"/>
            <w:vAlign w:val="center"/>
          </w:tcPr>
          <w:p w14:paraId="6293DA07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驱动与存储层</w:t>
            </w:r>
          </w:p>
        </w:tc>
      </w:tr>
      <w:tr w14:paraId="0630C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16" w:type="dxa"/>
            <w:vAlign w:val="center"/>
          </w:tcPr>
          <w:p w14:paraId="3F91F243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OLED、菜单、按键、外部协议网关</w:t>
            </w:r>
          </w:p>
        </w:tc>
        <w:tc>
          <w:tcPr>
            <w:tcW w:w="2616" w:type="dxa"/>
            <w:vAlign w:val="center"/>
          </w:tcPr>
          <w:p w14:paraId="0EF8867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CPU2 确认快照、参数事务、失效与补读</w:t>
            </w:r>
          </w:p>
        </w:tc>
        <w:tc>
          <w:tcPr>
            <w:tcW w:w="2616" w:type="dxa"/>
            <w:vAlign w:val="center"/>
          </w:tcPr>
          <w:p w14:paraId="353BCEF6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CPU2 轮询、外部协议调度、COM 队列与恢复</w:t>
            </w:r>
          </w:p>
        </w:tc>
        <w:tc>
          <w:tcPr>
            <w:tcW w:w="2616" w:type="dxa"/>
            <w:vAlign w:val="center"/>
          </w:tcPr>
          <w:p w14:paraId="156142F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UART/RS485、OLED/GPIO、本机 FRAM、定时器/DMA</w:t>
            </w:r>
          </w:p>
        </w:tc>
      </w:tr>
    </w:tbl>
    <w:p w14:paraId="02A9AAA5">
      <w:pPr>
        <w:pStyle w:val="5"/>
        <w:rPr>
          <w:color w:val="auto"/>
        </w:rPr>
      </w:pPr>
      <w:bookmarkStart w:id="28" w:name="_Toc19127"/>
      <w:r>
        <w:rPr>
          <w:color w:val="auto"/>
        </w:rPr>
        <w:t>模块关系图</w:t>
      </w:r>
      <w:bookmarkEnd w:id="28"/>
    </w:p>
    <w:p w14:paraId="2A696220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30" o:spt="75" alt="" type="#_x0000_t75" style="height:230.4pt;width:470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22">
            <o:LockedField>false</o:LockedField>
          </o:OLEObject>
        </w:object>
      </w:r>
    </w:p>
    <w:p w14:paraId="61CFDC06">
      <w:pPr>
        <w:pStyle w:val="5"/>
        <w:rPr>
          <w:color w:val="auto"/>
        </w:rPr>
      </w:pPr>
      <w:bookmarkStart w:id="29" w:name="_Toc6321"/>
      <w:r>
        <w:rPr>
          <w:color w:val="auto"/>
        </w:rPr>
        <w:t>外部接口</w:t>
      </w:r>
      <w:bookmarkEnd w:id="29"/>
    </w:p>
    <w:tbl>
      <w:tblPr>
        <w:tblStyle w:val="22"/>
        <w:tblW w:w="103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1308"/>
        <w:gridCol w:w="1539"/>
        <w:gridCol w:w="2084"/>
        <w:gridCol w:w="4691"/>
      </w:tblGrid>
      <w:tr w14:paraId="3194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9" w:type="dxa"/>
            <w:vAlign w:val="center"/>
          </w:tcPr>
          <w:p w14:paraId="5B81B65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1308" w:type="dxa"/>
            <w:vAlign w:val="center"/>
          </w:tcPr>
          <w:p w14:paraId="7EFFDD0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内部组件</w:t>
            </w:r>
          </w:p>
        </w:tc>
        <w:tc>
          <w:tcPr>
            <w:tcW w:w="1539" w:type="dxa"/>
            <w:vAlign w:val="center"/>
          </w:tcPr>
          <w:p w14:paraId="1C9C2F3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外部组件</w:t>
            </w:r>
          </w:p>
        </w:tc>
        <w:tc>
          <w:tcPr>
            <w:tcW w:w="2084" w:type="dxa"/>
            <w:vAlign w:val="center"/>
          </w:tcPr>
          <w:p w14:paraId="3E11BBE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接口</w:t>
            </w:r>
          </w:p>
        </w:tc>
        <w:tc>
          <w:tcPr>
            <w:tcW w:w="4691" w:type="dxa"/>
            <w:vAlign w:val="center"/>
          </w:tcPr>
          <w:p w14:paraId="53A5352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连接描述</w:t>
            </w:r>
          </w:p>
        </w:tc>
      </w:tr>
      <w:tr w14:paraId="5DFC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vAlign w:val="center"/>
          </w:tcPr>
          <w:p w14:paraId="47E22B2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308" w:type="dxa"/>
            <w:vAlign w:val="center"/>
          </w:tcPr>
          <w:p w14:paraId="3274C0D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 通信</w:t>
            </w:r>
          </w:p>
        </w:tc>
        <w:tc>
          <w:tcPr>
            <w:tcW w:w="1539" w:type="dxa"/>
            <w:vAlign w:val="center"/>
          </w:tcPr>
          <w:p w14:paraId="686AE65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</w:t>
            </w:r>
          </w:p>
        </w:tc>
        <w:tc>
          <w:tcPr>
            <w:tcW w:w="2084" w:type="dxa"/>
            <w:vAlign w:val="center"/>
          </w:tcPr>
          <w:p w14:paraId="7804DCA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UART5/RS485</w:t>
            </w:r>
          </w:p>
        </w:tc>
        <w:tc>
          <w:tcPr>
            <w:tcW w:w="4691" w:type="dxa"/>
            <w:vAlign w:val="center"/>
          </w:tcPr>
          <w:p w14:paraId="00CCA5D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协议版本探测、轮询、快照和命令结果同步。</w:t>
            </w:r>
          </w:p>
        </w:tc>
      </w:tr>
      <w:tr w14:paraId="50B7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vAlign w:val="center"/>
          </w:tcPr>
          <w:p w14:paraId="0A4383F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308" w:type="dxa"/>
            <w:vAlign w:val="center"/>
          </w:tcPr>
          <w:p w14:paraId="1C3B526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显示和按键</w:t>
            </w:r>
          </w:p>
        </w:tc>
        <w:tc>
          <w:tcPr>
            <w:tcW w:w="1539" w:type="dxa"/>
            <w:vAlign w:val="center"/>
          </w:tcPr>
          <w:p w14:paraId="72A7004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OLED/操作者</w:t>
            </w:r>
          </w:p>
        </w:tc>
        <w:tc>
          <w:tcPr>
            <w:tcW w:w="2084" w:type="dxa"/>
            <w:vAlign w:val="center"/>
          </w:tcPr>
          <w:p w14:paraId="49F1734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显示/GPIO</w:t>
            </w:r>
          </w:p>
        </w:tc>
        <w:tc>
          <w:tcPr>
            <w:tcW w:w="4691" w:type="dxa"/>
            <w:vAlign w:val="center"/>
          </w:tcPr>
          <w:p w14:paraId="65D3614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显示 CPU2 确认的数据，并将经校验的设置或命令发送给 CPU2。</w:t>
            </w:r>
          </w:p>
        </w:tc>
      </w:tr>
      <w:tr w14:paraId="7C82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vAlign w:val="center"/>
          </w:tcPr>
          <w:p w14:paraId="192B29E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308" w:type="dxa"/>
            <w:vAlign w:val="center"/>
          </w:tcPr>
          <w:p w14:paraId="19F659D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外部协议网关</w:t>
            </w:r>
          </w:p>
        </w:tc>
        <w:tc>
          <w:tcPr>
            <w:tcW w:w="1539" w:type="dxa"/>
            <w:vAlign w:val="center"/>
          </w:tcPr>
          <w:p w14:paraId="5E5D39D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上位机/外部设备</w:t>
            </w:r>
          </w:p>
        </w:tc>
        <w:tc>
          <w:tcPr>
            <w:tcW w:w="2084" w:type="dxa"/>
            <w:vAlign w:val="center"/>
          </w:tcPr>
          <w:p w14:paraId="2657B97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COM1/COM2/COM3</w:t>
            </w:r>
          </w:p>
        </w:tc>
        <w:tc>
          <w:tcPr>
            <w:tcW w:w="4691" w:type="dxa"/>
            <w:vAlign w:val="center"/>
          </w:tcPr>
          <w:p w14:paraId="60A8798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外部数字协议统一由 CPU3 完成适配、排队、响应和恢复。</w:t>
            </w:r>
          </w:p>
        </w:tc>
      </w:tr>
      <w:tr w14:paraId="2B20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vAlign w:val="center"/>
          </w:tcPr>
          <w:p w14:paraId="43538CF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308" w:type="dxa"/>
            <w:vAlign w:val="center"/>
          </w:tcPr>
          <w:p w14:paraId="3A3931A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本机参数</w:t>
            </w:r>
          </w:p>
        </w:tc>
        <w:tc>
          <w:tcPr>
            <w:tcW w:w="1539" w:type="dxa"/>
            <w:vAlign w:val="center"/>
          </w:tcPr>
          <w:p w14:paraId="1396107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FRAM</w:t>
            </w:r>
          </w:p>
        </w:tc>
        <w:tc>
          <w:tcPr>
            <w:tcW w:w="2084" w:type="dxa"/>
            <w:vAlign w:val="center"/>
          </w:tcPr>
          <w:p w14:paraId="18CFBDD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存储接口</w:t>
            </w:r>
          </w:p>
        </w:tc>
        <w:tc>
          <w:tcPr>
            <w:tcW w:w="4691" w:type="dxa"/>
            <w:vAlign w:val="center"/>
          </w:tcPr>
          <w:p w14:paraId="7660B87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保存端口协议和串口配置。</w:t>
            </w:r>
          </w:p>
        </w:tc>
      </w:tr>
      <w:tr w14:paraId="4FE3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vAlign w:val="center"/>
          </w:tcPr>
          <w:p w14:paraId="7DB9CEE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308" w:type="dxa"/>
            <w:vAlign w:val="center"/>
          </w:tcPr>
          <w:p w14:paraId="6CD8686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温度输入</w:t>
            </w:r>
          </w:p>
        </w:tc>
        <w:tc>
          <w:tcPr>
            <w:tcW w:w="1539" w:type="dxa"/>
            <w:vAlign w:val="center"/>
          </w:tcPr>
          <w:p w14:paraId="581CE2E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CPU4</w:t>
            </w:r>
          </w:p>
        </w:tc>
        <w:tc>
          <w:tcPr>
            <w:tcW w:w="2084" w:type="dxa"/>
            <w:vAlign w:val="center"/>
          </w:tcPr>
          <w:p w14:paraId="02C6F86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CPU4 数据接口</w:t>
            </w:r>
          </w:p>
        </w:tc>
        <w:tc>
          <w:tcPr>
            <w:tcW w:w="4691" w:type="dxa"/>
            <w:vAlign w:val="center"/>
          </w:tcPr>
          <w:p w14:paraId="015EB4D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接收实时温度数据并向上位机转发。</w:t>
            </w:r>
          </w:p>
        </w:tc>
      </w:tr>
    </w:tbl>
    <w:p w14:paraId="0850FE68">
      <w:pPr>
        <w:pStyle w:val="5"/>
        <w:rPr>
          <w:color w:val="auto"/>
        </w:rPr>
      </w:pPr>
      <w:bookmarkStart w:id="30" w:name="_Toc17559"/>
      <w:r>
        <w:rPr>
          <w:color w:val="auto"/>
        </w:rPr>
        <w:t>软件功能关系定义</w:t>
      </w:r>
      <w:bookmarkEnd w:id="30"/>
    </w:p>
    <w:tbl>
      <w:tblPr>
        <w:tblStyle w:val="22"/>
        <w:tblW w:w="103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105"/>
        <w:gridCol w:w="2364"/>
        <w:gridCol w:w="4009"/>
        <w:gridCol w:w="2163"/>
      </w:tblGrid>
      <w:tr w14:paraId="4FB1C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34" w:type="dxa"/>
            <w:vAlign w:val="center"/>
          </w:tcPr>
          <w:p w14:paraId="2400CA0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1105" w:type="dxa"/>
            <w:vAlign w:val="center"/>
          </w:tcPr>
          <w:p w14:paraId="04077E03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系统功能</w:t>
            </w:r>
          </w:p>
        </w:tc>
        <w:tc>
          <w:tcPr>
            <w:tcW w:w="2364" w:type="dxa"/>
            <w:vAlign w:val="center"/>
          </w:tcPr>
          <w:p w14:paraId="44AB7F94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软件功能</w:t>
            </w:r>
          </w:p>
        </w:tc>
        <w:tc>
          <w:tcPr>
            <w:tcW w:w="4009" w:type="dxa"/>
            <w:vAlign w:val="center"/>
          </w:tcPr>
          <w:p w14:paraId="3877FB9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功能描述</w:t>
            </w:r>
          </w:p>
        </w:tc>
        <w:tc>
          <w:tcPr>
            <w:tcW w:w="2163" w:type="dxa"/>
            <w:vAlign w:val="center"/>
          </w:tcPr>
          <w:p w14:paraId="07CA6820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6E660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2E35487E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05" w:type="dxa"/>
            <w:vAlign w:val="center"/>
          </w:tcPr>
          <w:p w14:paraId="0DF85AA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人机交互</w:t>
            </w:r>
          </w:p>
        </w:tc>
        <w:tc>
          <w:tcPr>
            <w:tcW w:w="2364" w:type="dxa"/>
            <w:vAlign w:val="center"/>
          </w:tcPr>
          <w:p w14:paraId="0C8B72CF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状态显示、菜单和按键</w:t>
            </w:r>
          </w:p>
        </w:tc>
        <w:tc>
          <w:tcPr>
            <w:tcW w:w="4009" w:type="dxa"/>
            <w:vAlign w:val="center"/>
          </w:tcPr>
          <w:p w14:paraId="4E4AD0A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显示 CPU2 确认的数据，并形成经校验的设置或命令请求。</w:t>
            </w:r>
          </w:p>
        </w:tc>
        <w:tc>
          <w:tcPr>
            <w:tcW w:w="2163" w:type="dxa"/>
            <w:vAlign w:val="center"/>
          </w:tcPr>
          <w:p w14:paraId="1DDDB2B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非安全相关</w:t>
            </w:r>
          </w:p>
        </w:tc>
      </w:tr>
      <w:tr w14:paraId="2C7C0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5CE62F24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105" w:type="dxa"/>
            <w:vAlign w:val="center"/>
          </w:tcPr>
          <w:p w14:paraId="7E7C1AC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 同步</w:t>
            </w:r>
          </w:p>
        </w:tc>
        <w:tc>
          <w:tcPr>
            <w:tcW w:w="2364" w:type="dxa"/>
            <w:vAlign w:val="center"/>
          </w:tcPr>
          <w:p w14:paraId="67E0D14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版本、快照、命令结果和补读</w:t>
            </w:r>
          </w:p>
        </w:tc>
        <w:tc>
          <w:tcPr>
            <w:tcW w:w="4009" w:type="dxa"/>
            <w:vAlign w:val="center"/>
          </w:tcPr>
          <w:p w14:paraId="537CE4B0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协议匹配和完整同步后才发布业务数据。</w:t>
            </w:r>
          </w:p>
        </w:tc>
        <w:tc>
          <w:tcPr>
            <w:tcW w:w="2163" w:type="dxa"/>
            <w:vAlign w:val="center"/>
          </w:tcPr>
          <w:p w14:paraId="2AB68A7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 为权威端</w:t>
            </w:r>
          </w:p>
        </w:tc>
      </w:tr>
      <w:tr w14:paraId="0B1B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546F1F2A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05" w:type="dxa"/>
            <w:vAlign w:val="center"/>
          </w:tcPr>
          <w:p w14:paraId="51EE75E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协议网关</w:t>
            </w:r>
          </w:p>
        </w:tc>
        <w:tc>
          <w:tcPr>
            <w:tcW w:w="2364" w:type="dxa"/>
            <w:vAlign w:val="center"/>
          </w:tcPr>
          <w:p w14:paraId="79D1596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三路端口协议适配</w:t>
            </w:r>
          </w:p>
        </w:tc>
        <w:tc>
          <w:tcPr>
            <w:tcW w:w="4009" w:type="dxa"/>
            <w:vAlign w:val="center"/>
          </w:tcPr>
          <w:p w14:paraId="690F9C8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统一处理外部读写、响应和异常。</w:t>
            </w:r>
          </w:p>
        </w:tc>
        <w:tc>
          <w:tcPr>
            <w:tcW w:w="2163" w:type="dxa"/>
            <w:vAlign w:val="center"/>
          </w:tcPr>
          <w:p w14:paraId="52A0EEB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全部外部数字协议归 CPU3</w:t>
            </w:r>
          </w:p>
        </w:tc>
      </w:tr>
      <w:tr w14:paraId="583B3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2AC5A92A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105" w:type="dxa"/>
            <w:vAlign w:val="center"/>
          </w:tcPr>
          <w:p w14:paraId="32DF3E27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通信恢复</w:t>
            </w:r>
          </w:p>
        </w:tc>
        <w:tc>
          <w:tcPr>
            <w:tcW w:w="2364" w:type="dxa"/>
            <w:vAlign w:val="center"/>
          </w:tcPr>
          <w:p w14:paraId="70D8469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DMA、队列和 UART 重建</w:t>
            </w:r>
          </w:p>
        </w:tc>
        <w:tc>
          <w:tcPr>
            <w:tcW w:w="4009" w:type="dxa"/>
            <w:vAlign w:val="center"/>
          </w:tcPr>
          <w:p w14:paraId="5ECF6800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处理收发、排队和端口恢复。</w:t>
            </w:r>
          </w:p>
        </w:tc>
        <w:tc>
          <w:tcPr>
            <w:tcW w:w="2163" w:type="dxa"/>
            <w:vAlign w:val="center"/>
          </w:tcPr>
          <w:p w14:paraId="1E945D8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快照无效时不得返回历史数据</w:t>
            </w:r>
          </w:p>
        </w:tc>
      </w:tr>
      <w:tr w14:paraId="0E5F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0AB458A7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05" w:type="dxa"/>
            <w:vAlign w:val="center"/>
          </w:tcPr>
          <w:p w14:paraId="5DD1536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CPU4 扩展</w:t>
            </w:r>
          </w:p>
        </w:tc>
        <w:tc>
          <w:tcPr>
            <w:tcW w:w="2364" w:type="dxa"/>
            <w:vAlign w:val="center"/>
          </w:tcPr>
          <w:p w14:paraId="3E1562F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温度数据转发</w:t>
            </w:r>
          </w:p>
        </w:tc>
        <w:tc>
          <w:tcPr>
            <w:tcW w:w="4009" w:type="dxa"/>
            <w:vAlign w:val="center"/>
          </w:tcPr>
          <w:p w14:paraId="49578C1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接收 CPU4 温度数据并上传上位机。</w:t>
            </w:r>
          </w:p>
        </w:tc>
        <w:tc>
          <w:tcPr>
            <w:tcW w:w="2163" w:type="dxa"/>
            <w:vAlign w:val="center"/>
          </w:tcPr>
          <w:p w14:paraId="776A6D5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接口已完成设计并验证</w:t>
            </w:r>
          </w:p>
        </w:tc>
      </w:tr>
    </w:tbl>
    <w:p w14:paraId="1D39E22C">
      <w:pPr>
        <w:pStyle w:val="4"/>
        <w:rPr>
          <w:color w:val="auto"/>
        </w:rPr>
      </w:pPr>
      <w:bookmarkStart w:id="31" w:name="_Toc279"/>
      <w:r>
        <w:rPr>
          <w:color w:val="auto"/>
        </w:rPr>
        <w:t>状态与转移</w:t>
      </w:r>
      <w:bookmarkEnd w:id="31"/>
    </w:p>
    <w:p w14:paraId="0360D74A">
      <w:pPr>
        <w:pStyle w:val="5"/>
        <w:rPr>
          <w:color w:val="auto"/>
        </w:rPr>
      </w:pPr>
      <w:bookmarkStart w:id="32" w:name="_Toc17905"/>
      <w:r>
        <w:rPr>
          <w:color w:val="auto"/>
        </w:rPr>
        <w:t>状态与功能关系表</w:t>
      </w:r>
      <w:bookmarkEnd w:id="32"/>
    </w:p>
    <w:tbl>
      <w:tblPr>
        <w:tblStyle w:val="22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3863"/>
        <w:gridCol w:w="2118"/>
        <w:gridCol w:w="2423"/>
      </w:tblGrid>
      <w:tr w14:paraId="2DA7E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65317D5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状态</w:t>
            </w:r>
          </w:p>
        </w:tc>
        <w:tc>
          <w:tcPr>
            <w:tcW w:w="3863" w:type="dxa"/>
            <w:vAlign w:val="center"/>
          </w:tcPr>
          <w:p w14:paraId="416822E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主要功能</w:t>
            </w:r>
          </w:p>
        </w:tc>
        <w:tc>
          <w:tcPr>
            <w:tcW w:w="0" w:type="auto"/>
            <w:vAlign w:val="center"/>
          </w:tcPr>
          <w:p w14:paraId="55BE904E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进入条件</w:t>
            </w:r>
          </w:p>
        </w:tc>
        <w:tc>
          <w:tcPr>
            <w:tcW w:w="2423" w:type="dxa"/>
            <w:vAlign w:val="center"/>
          </w:tcPr>
          <w:p w14:paraId="16A2F9F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对外行为</w:t>
            </w:r>
          </w:p>
        </w:tc>
      </w:tr>
      <w:tr w14:paraId="15D0B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3FF43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启动保护</w:t>
            </w:r>
          </w:p>
        </w:tc>
        <w:tc>
          <w:tcPr>
            <w:tcW w:w="3863" w:type="dxa"/>
            <w:vAlign w:val="center"/>
          </w:tcPr>
          <w:p w14:paraId="6DD80680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加载本机参数，初始化显示、按键和端口</w:t>
            </w:r>
          </w:p>
        </w:tc>
        <w:tc>
          <w:tcPr>
            <w:tcW w:w="0" w:type="auto"/>
            <w:vAlign w:val="center"/>
          </w:tcPr>
          <w:p w14:paraId="26F14BD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上电或复位</w:t>
            </w:r>
          </w:p>
        </w:tc>
        <w:tc>
          <w:tcPr>
            <w:tcW w:w="2423" w:type="dxa"/>
            <w:vAlign w:val="center"/>
          </w:tcPr>
          <w:p w14:paraId="7E74EE6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不发布 CPU2 业务数据</w:t>
            </w:r>
          </w:p>
        </w:tc>
      </w:tr>
      <w:tr w14:paraId="37E30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BCFDD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版本探测</w:t>
            </w:r>
          </w:p>
        </w:tc>
        <w:tc>
          <w:tcPr>
            <w:tcW w:w="3863" w:type="dxa"/>
            <w:vAlign w:val="center"/>
          </w:tcPr>
          <w:p w14:paraId="678163A4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读取 CPU2 协议版本</w:t>
            </w:r>
          </w:p>
        </w:tc>
        <w:tc>
          <w:tcPr>
            <w:tcW w:w="0" w:type="auto"/>
            <w:vAlign w:val="center"/>
          </w:tcPr>
          <w:p w14:paraId="5D46FD7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启动完成或失配重试</w:t>
            </w:r>
          </w:p>
        </w:tc>
        <w:tc>
          <w:tcPr>
            <w:tcW w:w="2423" w:type="dxa"/>
            <w:vAlign w:val="center"/>
          </w:tcPr>
          <w:p w14:paraId="387E00D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不匹配时返回不可用</w:t>
            </w:r>
          </w:p>
        </w:tc>
      </w:tr>
      <w:tr w14:paraId="504C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9B5821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完整同步</w:t>
            </w:r>
          </w:p>
        </w:tc>
        <w:tc>
          <w:tcPr>
            <w:tcW w:w="3863" w:type="dxa"/>
            <w:vAlign w:val="center"/>
          </w:tcPr>
          <w:p w14:paraId="729612A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同步状态、参数和测量数据</w:t>
            </w:r>
          </w:p>
        </w:tc>
        <w:tc>
          <w:tcPr>
            <w:tcW w:w="0" w:type="auto"/>
            <w:vAlign w:val="center"/>
          </w:tcPr>
          <w:p w14:paraId="13DC9F7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版本匹配</w:t>
            </w:r>
          </w:p>
        </w:tc>
        <w:tc>
          <w:tcPr>
            <w:tcW w:w="2423" w:type="dxa"/>
            <w:vAlign w:val="center"/>
          </w:tcPr>
          <w:p w14:paraId="6368079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完成前数据无效</w:t>
            </w:r>
          </w:p>
        </w:tc>
      </w:tr>
      <w:tr w14:paraId="17EB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7AFC0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正常服务</w:t>
            </w:r>
          </w:p>
        </w:tc>
        <w:tc>
          <w:tcPr>
            <w:tcW w:w="3863" w:type="dxa"/>
            <w:vAlign w:val="center"/>
          </w:tcPr>
          <w:p w14:paraId="5D399EC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显示、轮询和外部协议网关</w:t>
            </w:r>
          </w:p>
        </w:tc>
        <w:tc>
          <w:tcPr>
            <w:tcW w:w="0" w:type="auto"/>
            <w:vAlign w:val="center"/>
          </w:tcPr>
          <w:p w14:paraId="33D2AD3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完整同步完成</w:t>
            </w:r>
          </w:p>
        </w:tc>
        <w:tc>
          <w:tcPr>
            <w:tcW w:w="2423" w:type="dxa"/>
            <w:vAlign w:val="center"/>
          </w:tcPr>
          <w:p w14:paraId="44634A3F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从确认数据响应</w:t>
            </w:r>
          </w:p>
        </w:tc>
      </w:tr>
      <w:tr w14:paraId="71DDB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2D3DFF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写事务</w:t>
            </w:r>
          </w:p>
        </w:tc>
        <w:tc>
          <w:tcPr>
            <w:tcW w:w="3863" w:type="dxa"/>
            <w:vAlign w:val="center"/>
          </w:tcPr>
          <w:p w14:paraId="4284E98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转发命令并等待 CPU2 结果，随后补读</w:t>
            </w:r>
          </w:p>
        </w:tc>
        <w:tc>
          <w:tcPr>
            <w:tcW w:w="0" w:type="auto"/>
            <w:vAlign w:val="center"/>
          </w:tcPr>
          <w:p w14:paraId="5796A25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外部写或本机配置</w:t>
            </w:r>
          </w:p>
        </w:tc>
        <w:tc>
          <w:tcPr>
            <w:tcW w:w="2423" w:type="dxa"/>
            <w:vAlign w:val="center"/>
          </w:tcPr>
          <w:p w14:paraId="57E9726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确认完成前不宣告成功</w:t>
            </w:r>
          </w:p>
        </w:tc>
      </w:tr>
      <w:tr w14:paraId="6E19D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8" w:type="dxa"/>
            <w:vAlign w:val="center"/>
          </w:tcPr>
          <w:p w14:paraId="2C69B1D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通信断线或版本失配</w:t>
            </w:r>
          </w:p>
        </w:tc>
        <w:tc>
          <w:tcPr>
            <w:tcW w:w="3863" w:type="dxa"/>
            <w:vAlign w:val="center"/>
          </w:tcPr>
          <w:p w14:paraId="488DD6B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数据失效并继续探测</w:t>
            </w:r>
          </w:p>
        </w:tc>
        <w:tc>
          <w:tcPr>
            <w:tcW w:w="2118" w:type="dxa"/>
            <w:vAlign w:val="center"/>
          </w:tcPr>
          <w:p w14:paraId="66AE6DE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通信断线或版本失配</w:t>
            </w:r>
          </w:p>
        </w:tc>
        <w:tc>
          <w:tcPr>
            <w:tcW w:w="2423" w:type="dxa"/>
            <w:vAlign w:val="center"/>
          </w:tcPr>
          <w:p w14:paraId="7BB463F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返回忙、失败或不可用</w:t>
            </w:r>
          </w:p>
        </w:tc>
      </w:tr>
    </w:tbl>
    <w:p w14:paraId="62492B8F">
      <w:pPr>
        <w:pStyle w:val="5"/>
        <w:rPr>
          <w:color w:val="auto"/>
        </w:rPr>
      </w:pPr>
      <w:bookmarkStart w:id="33" w:name="_Toc6020"/>
      <w:r>
        <w:rPr>
          <w:rFonts w:hint="eastAsia"/>
          <w:color w:val="auto"/>
          <w:lang w:eastAsia="zh-CN"/>
        </w:rPr>
        <w:t>状态转换描述</w:t>
      </w:r>
      <w:bookmarkEnd w:id="33"/>
    </w:p>
    <w:p w14:paraId="505EFFD5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35" o:spt="75" alt="" type="#_x0000_t75" style="height:206.7pt;width:493.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Visio.Drawing.15" ShapeID="_x0000_i1035" DrawAspect="Content" ObjectID="_1468075731" r:id="rId24">
            <o:LockedField>false</o:LockedField>
          </o:OLEObject>
        </w:object>
      </w:r>
    </w:p>
    <w:p w14:paraId="38E7AE98">
      <w:pPr>
        <w:pStyle w:val="3"/>
        <w:rPr>
          <w:color w:val="auto"/>
        </w:rPr>
      </w:pPr>
      <w:r>
        <w:rPr>
          <w:color w:val="auto"/>
        </w:rPr>
        <w:t>CPU3 启动后先完成版本探测和完整同步，再进入正常服务。通信断线、协议失配或写事务期间，相关数据失效并按确认结果重新同步。</w:t>
      </w:r>
    </w:p>
    <w:p w14:paraId="2FE663AA">
      <w:pPr>
        <w:pStyle w:val="2"/>
        <w:rPr>
          <w:color w:val="auto"/>
        </w:rPr>
      </w:pPr>
      <w:bookmarkStart w:id="34" w:name="_Toc21719"/>
      <w:r>
        <w:rPr>
          <w:color w:val="auto"/>
        </w:rPr>
        <w:t>CPUW（扭力）的软件架构</w:t>
      </w:r>
      <w:bookmarkEnd w:id="34"/>
    </w:p>
    <w:p w14:paraId="3EA28EC1">
      <w:pPr>
        <w:pStyle w:val="3"/>
        <w:rPr>
          <w:color w:val="auto"/>
        </w:rPr>
      </w:pPr>
      <w:r>
        <w:rPr>
          <w:color w:val="auto"/>
        </w:rPr>
        <w:t>CPUW 是每台必装的非安全扭力处理器，负责扭力、温度和板内监测量采集，并通过串口向 CPU2 主动发送全量帧。</w:t>
      </w:r>
    </w:p>
    <w:p w14:paraId="1B991983">
      <w:pPr>
        <w:pStyle w:val="4"/>
        <w:rPr>
          <w:color w:val="auto"/>
        </w:rPr>
      </w:pPr>
      <w:bookmarkStart w:id="35" w:name="_Toc3949"/>
      <w:r>
        <w:rPr>
          <w:color w:val="auto"/>
        </w:rPr>
        <w:t>静态结构</w:t>
      </w:r>
      <w:bookmarkEnd w:id="35"/>
    </w:p>
    <w:p w14:paraId="12BB6D43">
      <w:pPr>
        <w:pStyle w:val="5"/>
        <w:rPr>
          <w:color w:val="auto"/>
        </w:rPr>
      </w:pPr>
      <w:bookmarkStart w:id="36" w:name="_Toc11753"/>
      <w:r>
        <w:rPr>
          <w:color w:val="auto"/>
        </w:rPr>
        <w:t>软件架构图</w:t>
      </w:r>
      <w:bookmarkEnd w:id="36"/>
    </w:p>
    <w:tbl>
      <w:tblPr>
        <w:tblStyle w:val="22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3080"/>
        <w:gridCol w:w="2194"/>
        <w:gridCol w:w="3055"/>
      </w:tblGrid>
      <w:tr w14:paraId="15C7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94" w:type="dxa"/>
            <w:vAlign w:val="center"/>
          </w:tcPr>
          <w:p w14:paraId="38758DDF">
            <w:pPr>
              <w:snapToGrid w:val="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业务层</w:t>
            </w:r>
          </w:p>
        </w:tc>
        <w:tc>
          <w:tcPr>
            <w:tcW w:w="3080" w:type="dxa"/>
            <w:vAlign w:val="center"/>
          </w:tcPr>
          <w:p w14:paraId="4947054C">
            <w:pPr>
              <w:snapToGrid w:val="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采集与处理层</w:t>
            </w:r>
          </w:p>
        </w:tc>
        <w:tc>
          <w:tcPr>
            <w:tcW w:w="2194" w:type="dxa"/>
            <w:vAlign w:val="center"/>
          </w:tcPr>
          <w:p w14:paraId="6DBED7D6">
            <w:pPr>
              <w:snapToGrid w:val="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自检与诊断层</w:t>
            </w:r>
          </w:p>
        </w:tc>
        <w:tc>
          <w:tcPr>
            <w:tcW w:w="3055" w:type="dxa"/>
            <w:vAlign w:val="center"/>
          </w:tcPr>
          <w:p w14:paraId="46901B53">
            <w:pPr>
              <w:snapToGrid w:val="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驱动层</w:t>
            </w:r>
          </w:p>
        </w:tc>
      </w:tr>
      <w:tr w14:paraId="29D3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vAlign w:val="center"/>
          </w:tcPr>
          <w:p w14:paraId="2995E1BC">
            <w:pPr>
              <w:snapToGrid w:val="0"/>
              <w:jc w:val="center"/>
              <w:rPr>
                <w:color w:val="auto"/>
              </w:rPr>
            </w:pPr>
            <w:r>
              <w:rPr>
                <w:color w:val="auto"/>
              </w:rPr>
              <w:t>扭力采样、温度采样、全量帧上报</w:t>
            </w:r>
          </w:p>
        </w:tc>
        <w:tc>
          <w:tcPr>
            <w:tcW w:w="3080" w:type="dxa"/>
            <w:vAlign w:val="center"/>
          </w:tcPr>
          <w:p w14:paraId="7A2F16D3">
            <w:pPr>
              <w:snapToGrid w:val="0"/>
              <w:jc w:val="center"/>
              <w:rPr>
                <w:color w:val="auto"/>
              </w:rPr>
            </w:pPr>
            <w:r>
              <w:rPr>
                <w:color w:val="auto"/>
              </w:rPr>
              <w:t>ADS1220 读取、滤波、监测量采集、BCC 组帧</w:t>
            </w:r>
          </w:p>
        </w:tc>
        <w:tc>
          <w:tcPr>
            <w:tcW w:w="2194" w:type="dxa"/>
            <w:vAlign w:val="center"/>
          </w:tcPr>
          <w:p w14:paraId="6D502321">
            <w:pPr>
              <w:snapToGrid w:val="0"/>
              <w:jc w:val="center"/>
              <w:rPr>
                <w:color w:val="auto"/>
              </w:rPr>
            </w:pPr>
            <w:r>
              <w:rPr>
                <w:color w:val="auto"/>
              </w:rPr>
              <w:t>启动检查、温度接口检查、看门狗</w:t>
            </w:r>
          </w:p>
        </w:tc>
        <w:tc>
          <w:tcPr>
            <w:tcW w:w="3055" w:type="dxa"/>
            <w:vAlign w:val="center"/>
          </w:tcPr>
          <w:p w14:paraId="79C56849">
            <w:pPr>
              <w:snapToGrid w:val="0"/>
              <w:jc w:val="center"/>
              <w:rPr>
                <w:color w:val="auto"/>
              </w:rPr>
            </w:pPr>
            <w:r>
              <w:rPr>
                <w:color w:val="auto"/>
              </w:rPr>
              <w:t>SPI、ADC、eUSCI_A1、GPIO/Clock、WDT</w:t>
            </w:r>
          </w:p>
        </w:tc>
      </w:tr>
    </w:tbl>
    <w:p w14:paraId="5939062D">
      <w:pPr>
        <w:pStyle w:val="5"/>
        <w:rPr>
          <w:color w:val="auto"/>
        </w:rPr>
      </w:pPr>
      <w:bookmarkStart w:id="37" w:name="_Toc13804"/>
      <w:r>
        <w:rPr>
          <w:color w:val="auto"/>
        </w:rPr>
        <w:t>模块关系图</w:t>
      </w:r>
      <w:bookmarkEnd w:id="37"/>
    </w:p>
    <w:p w14:paraId="0FFD288D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32" o:spt="75" alt="" type="#_x0000_t75" style="height:237.4pt;width:470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Visio.Drawing.15" ShapeID="_x0000_i1032" DrawAspect="Content" ObjectID="_1468075732" r:id="rId26">
            <o:LockedField>false</o:LockedField>
          </o:OLEObject>
        </w:object>
      </w:r>
    </w:p>
    <w:p w14:paraId="163B7CC8">
      <w:pPr>
        <w:pStyle w:val="5"/>
        <w:rPr>
          <w:color w:val="auto"/>
        </w:rPr>
      </w:pPr>
      <w:bookmarkStart w:id="38" w:name="_Toc18671"/>
      <w:r>
        <w:rPr>
          <w:color w:val="auto"/>
        </w:rPr>
        <w:t>外部接口</w:t>
      </w:r>
      <w:bookmarkEnd w:id="38"/>
    </w:p>
    <w:tbl>
      <w:tblPr>
        <w:tblStyle w:val="22"/>
        <w:tblW w:w="103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1261"/>
        <w:gridCol w:w="2079"/>
        <w:gridCol w:w="1176"/>
        <w:gridCol w:w="3216"/>
        <w:gridCol w:w="1929"/>
      </w:tblGrid>
      <w:tr w14:paraId="52E46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7" w:type="dxa"/>
            <w:vAlign w:val="center"/>
          </w:tcPr>
          <w:p w14:paraId="4161932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1261" w:type="dxa"/>
            <w:vAlign w:val="center"/>
          </w:tcPr>
          <w:p w14:paraId="197A9BA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内部组件</w:t>
            </w:r>
          </w:p>
        </w:tc>
        <w:tc>
          <w:tcPr>
            <w:tcW w:w="2079" w:type="dxa"/>
            <w:vAlign w:val="center"/>
          </w:tcPr>
          <w:p w14:paraId="5B12B48E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外部组件</w:t>
            </w:r>
          </w:p>
        </w:tc>
        <w:tc>
          <w:tcPr>
            <w:tcW w:w="1176" w:type="dxa"/>
            <w:vAlign w:val="center"/>
          </w:tcPr>
          <w:p w14:paraId="5DEAAB5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接口</w:t>
            </w:r>
          </w:p>
        </w:tc>
        <w:tc>
          <w:tcPr>
            <w:tcW w:w="3216" w:type="dxa"/>
            <w:vAlign w:val="center"/>
          </w:tcPr>
          <w:p w14:paraId="562ECDE1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连接描述</w:t>
            </w:r>
          </w:p>
        </w:tc>
        <w:tc>
          <w:tcPr>
            <w:tcW w:w="1929" w:type="dxa"/>
            <w:vAlign w:val="center"/>
          </w:tcPr>
          <w:p w14:paraId="4738FCC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4B554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3803ACD2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261" w:type="dxa"/>
            <w:vAlign w:val="center"/>
          </w:tcPr>
          <w:p w14:paraId="44575445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扭力采集</w:t>
            </w:r>
          </w:p>
        </w:tc>
        <w:tc>
          <w:tcPr>
            <w:tcW w:w="2079" w:type="dxa"/>
            <w:vAlign w:val="center"/>
          </w:tcPr>
          <w:p w14:paraId="2E26981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ADS1220</w:t>
            </w:r>
          </w:p>
        </w:tc>
        <w:tc>
          <w:tcPr>
            <w:tcW w:w="1176" w:type="dxa"/>
            <w:vAlign w:val="center"/>
          </w:tcPr>
          <w:p w14:paraId="2ECA7C9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SPI</w:t>
            </w:r>
          </w:p>
        </w:tc>
        <w:tc>
          <w:tcPr>
            <w:tcW w:w="3216" w:type="dxa"/>
            <w:vAlign w:val="center"/>
          </w:tcPr>
          <w:p w14:paraId="3235656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读取原始扭力并形成滤波值。</w:t>
            </w:r>
          </w:p>
        </w:tc>
        <w:tc>
          <w:tcPr>
            <w:tcW w:w="1929" w:type="dxa"/>
            <w:vAlign w:val="center"/>
          </w:tcPr>
          <w:p w14:paraId="489DDC92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 当前采用原始扭力</w:t>
            </w:r>
          </w:p>
        </w:tc>
      </w:tr>
      <w:tr w14:paraId="6EEFB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325F935D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261" w:type="dxa"/>
            <w:vAlign w:val="center"/>
          </w:tcPr>
          <w:p w14:paraId="495760FE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温度采集</w:t>
            </w:r>
          </w:p>
        </w:tc>
        <w:tc>
          <w:tcPr>
            <w:tcW w:w="2079" w:type="dxa"/>
            <w:vAlign w:val="center"/>
          </w:tcPr>
          <w:p w14:paraId="2392801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温度接口</w:t>
            </w:r>
          </w:p>
        </w:tc>
        <w:tc>
          <w:tcPr>
            <w:tcW w:w="1176" w:type="dxa"/>
            <w:vAlign w:val="center"/>
          </w:tcPr>
          <w:p w14:paraId="639B500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板内接口</w:t>
            </w:r>
          </w:p>
        </w:tc>
        <w:tc>
          <w:tcPr>
            <w:tcW w:w="3216" w:type="dxa"/>
            <w:vAlign w:val="center"/>
          </w:tcPr>
          <w:p w14:paraId="604B237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采集温度原始值并写入全量帧。</w:t>
            </w:r>
          </w:p>
        </w:tc>
        <w:tc>
          <w:tcPr>
            <w:tcW w:w="1929" w:type="dxa"/>
            <w:vAlign w:val="center"/>
          </w:tcPr>
          <w:p w14:paraId="05C783A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无效浮点值不更新</w:t>
            </w:r>
          </w:p>
        </w:tc>
      </w:tr>
      <w:tr w14:paraId="379B5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309EA965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261" w:type="dxa"/>
            <w:vAlign w:val="center"/>
          </w:tcPr>
          <w:p w14:paraId="675A8DCE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监测量采集</w:t>
            </w:r>
          </w:p>
        </w:tc>
        <w:tc>
          <w:tcPr>
            <w:tcW w:w="2079" w:type="dxa"/>
            <w:vAlign w:val="center"/>
          </w:tcPr>
          <w:p w14:paraId="399AFA3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IA/IB/VIN/AVCC/VREF</w:t>
            </w:r>
          </w:p>
        </w:tc>
        <w:tc>
          <w:tcPr>
            <w:tcW w:w="1176" w:type="dxa"/>
            <w:vAlign w:val="center"/>
          </w:tcPr>
          <w:p w14:paraId="1A0CD985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ADC</w:t>
            </w:r>
          </w:p>
        </w:tc>
        <w:tc>
          <w:tcPr>
            <w:tcW w:w="3216" w:type="dxa"/>
            <w:vAlign w:val="center"/>
          </w:tcPr>
          <w:p w14:paraId="3A17C0F4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采集五路原始监测量并参与 BCC。</w:t>
            </w:r>
          </w:p>
        </w:tc>
        <w:tc>
          <w:tcPr>
            <w:tcW w:w="1929" w:type="dxa"/>
            <w:vAlign w:val="center"/>
          </w:tcPr>
          <w:p w14:paraId="2907F9A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当前无独立故障状态</w:t>
            </w:r>
          </w:p>
        </w:tc>
      </w:tr>
      <w:tr w14:paraId="247F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70164A42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261" w:type="dxa"/>
            <w:vAlign w:val="center"/>
          </w:tcPr>
          <w:p w14:paraId="5A2D4ABB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串口上报</w:t>
            </w:r>
          </w:p>
        </w:tc>
        <w:tc>
          <w:tcPr>
            <w:tcW w:w="2079" w:type="dxa"/>
            <w:vAlign w:val="center"/>
          </w:tcPr>
          <w:p w14:paraId="71358C85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</w:t>
            </w:r>
          </w:p>
        </w:tc>
        <w:tc>
          <w:tcPr>
            <w:tcW w:w="1176" w:type="dxa"/>
            <w:vAlign w:val="center"/>
          </w:tcPr>
          <w:p w14:paraId="5244287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UCA1，19200 8N1</w:t>
            </w:r>
          </w:p>
        </w:tc>
        <w:tc>
          <w:tcPr>
            <w:tcW w:w="3216" w:type="dxa"/>
            <w:vAlign w:val="center"/>
          </w:tcPr>
          <w:p w14:paraId="4A255F65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主动发送包含末尾 BCC 的 22 字节全量帧。</w:t>
            </w:r>
          </w:p>
        </w:tc>
        <w:tc>
          <w:tcPr>
            <w:tcW w:w="1929" w:type="dxa"/>
            <w:vAlign w:val="center"/>
          </w:tcPr>
          <w:p w14:paraId="2240E9D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当前为单向业务数据流</w:t>
            </w:r>
          </w:p>
        </w:tc>
      </w:tr>
    </w:tbl>
    <w:p w14:paraId="75EA3C37">
      <w:pPr>
        <w:pStyle w:val="5"/>
        <w:rPr>
          <w:color w:val="auto"/>
        </w:rPr>
      </w:pPr>
      <w:bookmarkStart w:id="39" w:name="_Toc20082"/>
      <w:r>
        <w:rPr>
          <w:color w:val="auto"/>
        </w:rPr>
        <w:t>软件功能关系定义</w:t>
      </w:r>
      <w:bookmarkEnd w:id="39"/>
    </w:p>
    <w:tbl>
      <w:tblPr>
        <w:tblStyle w:val="22"/>
        <w:tblpPr w:leftFromText="180" w:rightFromText="180" w:vertAnchor="text" w:horzAnchor="page" w:tblpX="886" w:tblpY="6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2870"/>
        <w:gridCol w:w="2430"/>
        <w:gridCol w:w="3169"/>
      </w:tblGrid>
      <w:tr w14:paraId="6847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30" w:type="dxa"/>
            <w:vAlign w:val="center"/>
          </w:tcPr>
          <w:p w14:paraId="19FC1A5A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状态/功能</w:t>
            </w:r>
          </w:p>
        </w:tc>
        <w:tc>
          <w:tcPr>
            <w:tcW w:w="2870" w:type="dxa"/>
            <w:vAlign w:val="center"/>
          </w:tcPr>
          <w:p w14:paraId="2D6A4284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主要活动</w:t>
            </w:r>
          </w:p>
        </w:tc>
        <w:tc>
          <w:tcPr>
            <w:tcW w:w="2430" w:type="dxa"/>
            <w:vAlign w:val="center"/>
          </w:tcPr>
          <w:p w14:paraId="55C0E817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异常处理</w:t>
            </w:r>
          </w:p>
        </w:tc>
        <w:tc>
          <w:tcPr>
            <w:tcW w:w="3169" w:type="dxa"/>
            <w:vAlign w:val="center"/>
          </w:tcPr>
          <w:p w14:paraId="1E2C4129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向后传播</w:t>
            </w:r>
          </w:p>
        </w:tc>
      </w:tr>
      <w:tr w14:paraId="2F8F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30" w:type="dxa"/>
            <w:vAlign w:val="center"/>
          </w:tcPr>
          <w:p w14:paraId="4878EED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初始化</w:t>
            </w:r>
          </w:p>
        </w:tc>
        <w:tc>
          <w:tcPr>
            <w:tcW w:w="2870" w:type="dxa"/>
            <w:vAlign w:val="center"/>
          </w:tcPr>
          <w:p w14:paraId="119EBA5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初始化时钟、UART、ADS1220、温度和 ADC</w:t>
            </w:r>
          </w:p>
        </w:tc>
        <w:tc>
          <w:tcPr>
            <w:tcW w:w="2430" w:type="dxa"/>
            <w:vAlign w:val="center"/>
          </w:tcPr>
          <w:p w14:paraId="2684C065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启动检查失败时生成并发送独立诊断状态</w:t>
            </w:r>
          </w:p>
        </w:tc>
        <w:tc>
          <w:tcPr>
            <w:tcW w:w="3169" w:type="dxa"/>
            <w:vAlign w:val="center"/>
          </w:tcPr>
          <w:p w14:paraId="2816C36F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CPU2 接收诊断状态后完成故障映射，并由 CPU3 同步发布</w:t>
            </w:r>
          </w:p>
        </w:tc>
      </w:tr>
      <w:tr w14:paraId="7F55C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30" w:type="dxa"/>
            <w:vAlign w:val="center"/>
          </w:tcPr>
          <w:p w14:paraId="7B72E09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采集</w:t>
            </w:r>
          </w:p>
        </w:tc>
        <w:tc>
          <w:tcPr>
            <w:tcW w:w="2870" w:type="dxa"/>
            <w:vAlign w:val="center"/>
          </w:tcPr>
          <w:p w14:paraId="38BF082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读取扭力、温度和监测量</w:t>
            </w:r>
          </w:p>
        </w:tc>
        <w:tc>
          <w:tcPr>
            <w:tcW w:w="2430" w:type="dxa"/>
            <w:vAlign w:val="center"/>
          </w:tcPr>
          <w:p w14:paraId="493DCDE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保留上次有效业务数据</w:t>
            </w:r>
          </w:p>
        </w:tc>
        <w:tc>
          <w:tcPr>
            <w:tcW w:w="3169" w:type="dxa"/>
            <w:vAlign w:val="center"/>
          </w:tcPr>
          <w:p w14:paraId="2F9F728B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CPU2 仅在收到合法帧时更新业务数据</w:t>
            </w:r>
          </w:p>
        </w:tc>
      </w:tr>
      <w:tr w14:paraId="1CBD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30" w:type="dxa"/>
            <w:vAlign w:val="center"/>
          </w:tcPr>
          <w:p w14:paraId="12F8D3E3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发送</w:t>
            </w:r>
          </w:p>
        </w:tc>
        <w:tc>
          <w:tcPr>
            <w:tcW w:w="2870" w:type="dxa"/>
            <w:vAlign w:val="center"/>
          </w:tcPr>
          <w:p w14:paraId="7F51656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组织 22 字节全量帧并计算异或 BCC</w:t>
            </w:r>
          </w:p>
        </w:tc>
        <w:tc>
          <w:tcPr>
            <w:tcW w:w="2430" w:type="dxa"/>
            <w:vAlign w:val="center"/>
          </w:tcPr>
          <w:p w14:paraId="49B6C81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CPU2 丢弃长度、帧头或 BCC 非法帧</w:t>
            </w:r>
          </w:p>
        </w:tc>
        <w:tc>
          <w:tcPr>
            <w:tcW w:w="3169" w:type="dxa"/>
            <w:vAlign w:val="center"/>
          </w:tcPr>
          <w:p w14:paraId="44165FC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非法帧不更新存活时间</w:t>
            </w:r>
          </w:p>
        </w:tc>
      </w:tr>
      <w:tr w14:paraId="54EF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30" w:type="dxa"/>
            <w:vAlign w:val="center"/>
          </w:tcPr>
          <w:p w14:paraId="78D1C77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通信超时</w:t>
            </w:r>
          </w:p>
        </w:tc>
        <w:tc>
          <w:tcPr>
            <w:tcW w:w="2870" w:type="dxa"/>
            <w:vAlign w:val="center"/>
          </w:tcPr>
          <w:p w14:paraId="2844978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CPU2 监督 1000 ms 合法帧间隔</w:t>
            </w:r>
          </w:p>
        </w:tc>
        <w:tc>
          <w:tcPr>
            <w:tcW w:w="2430" w:type="dxa"/>
            <w:vAlign w:val="center"/>
          </w:tcPr>
          <w:p w14:paraId="1D2197B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形成通信超时并按条件慢停</w:t>
            </w:r>
          </w:p>
        </w:tc>
        <w:tc>
          <w:tcPr>
            <w:tcW w:w="3169" w:type="dxa"/>
            <w:vAlign w:val="center"/>
          </w:tcPr>
          <w:p w14:paraId="11E658E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故障进入 CPU2 状态并由 CPU3 同步</w:t>
            </w:r>
          </w:p>
        </w:tc>
      </w:tr>
    </w:tbl>
    <w:p w14:paraId="4D627BA9">
      <w:pPr>
        <w:pStyle w:val="4"/>
        <w:rPr>
          <w:color w:val="auto"/>
        </w:rPr>
      </w:pPr>
      <w:bookmarkStart w:id="40" w:name="_Toc822"/>
      <w:r>
        <w:rPr>
          <w:color w:val="auto"/>
        </w:rPr>
        <w:t>状态与转移</w:t>
      </w:r>
      <w:bookmarkEnd w:id="40"/>
    </w:p>
    <w:p w14:paraId="37C19296">
      <w:pPr>
        <w:pStyle w:val="5"/>
        <w:rPr>
          <w:color w:val="auto"/>
        </w:rPr>
      </w:pPr>
      <w:bookmarkStart w:id="41" w:name="_Toc21040"/>
      <w:r>
        <w:rPr>
          <w:color w:val="auto"/>
        </w:rPr>
        <w:t>运行、超时与故障传播</w:t>
      </w:r>
      <w:bookmarkEnd w:id="41"/>
    </w:p>
    <w:p w14:paraId="32580FBE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33" o:spt="75" alt="" type="#_x0000_t75" style="height:178.75pt;width:491.5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Visio.Drawing.15" ShapeID="_x0000_i1033" DrawAspect="Content" ObjectID="_1468075733" r:id="rId28">
            <o:LockedField>false</o:LockedField>
          </o:OLEObject>
        </w:object>
      </w:r>
    </w:p>
    <w:p w14:paraId="1147278A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CPUW 已完成非安全自诊断。独立诊断状态码的生成与组帧、CPU2 接收和故障映射、CPU3 发布链路均已闭合并完成验证。</w:t>
      </w:r>
    </w:p>
    <w:p w14:paraId="178C2C0B">
      <w:pPr>
        <w:pStyle w:val="2"/>
        <w:jc w:val="left"/>
        <w:rPr>
          <w:color w:val="auto"/>
        </w:rPr>
      </w:pPr>
      <w:bookmarkStart w:id="42" w:name="_Toc9693"/>
      <w:r>
        <w:rPr>
          <w:rFonts w:hint="eastAsia"/>
          <w:color w:val="auto"/>
          <w:lang w:eastAsia="zh-CN"/>
        </w:rPr>
        <w:t>CPU4 扩展边界</w:t>
      </w:r>
      <w:bookmarkEnd w:id="42"/>
    </w:p>
    <w:p w14:paraId="3B421F41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CPU4 已完成详细设计、实现和验证。数据路径为“外部实时温度计→CPU4→CPU3→上位机”；CPU3 和 CPU4 均为非安全相关，该链路不经过 CPU2。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2FD4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3489" w:type="dxa"/>
            <w:vAlign w:val="center"/>
          </w:tcPr>
          <w:p w14:paraId="39A4A242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边界项</w:t>
            </w:r>
          </w:p>
        </w:tc>
        <w:tc>
          <w:tcPr>
            <w:tcW w:w="3489" w:type="dxa"/>
            <w:vAlign w:val="center"/>
          </w:tcPr>
          <w:p w14:paraId="62CB5E9B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已确认</w:t>
            </w:r>
          </w:p>
        </w:tc>
        <w:tc>
          <w:tcPr>
            <w:tcW w:w="3489" w:type="dxa"/>
            <w:vAlign w:val="center"/>
          </w:tcPr>
          <w:p w14:paraId="2B4D5579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  <w:lang w:eastAsia="zh-CN"/>
              </w:rPr>
              <w:t>完成状态</w:t>
            </w:r>
          </w:p>
        </w:tc>
      </w:tr>
      <w:tr w14:paraId="5AE27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89" w:type="dxa"/>
            <w:vAlign w:val="center"/>
          </w:tcPr>
          <w:p w14:paraId="3A105A16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输入</w:t>
            </w:r>
          </w:p>
        </w:tc>
        <w:tc>
          <w:tcPr>
            <w:tcW w:w="3489" w:type="dxa"/>
            <w:vAlign w:val="center"/>
          </w:tcPr>
          <w:p w14:paraId="79F99403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外部实时温度计，输入边界已确定</w:t>
            </w:r>
          </w:p>
        </w:tc>
        <w:tc>
          <w:tcPr>
            <w:tcW w:w="3489" w:type="dxa"/>
            <w:vAlign w:val="center"/>
          </w:tcPr>
          <w:p w14:paraId="3EB5916B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类型、接线、量程、精度和采样要求已完成定义并验证</w:t>
            </w:r>
          </w:p>
        </w:tc>
      </w:tr>
      <w:tr w14:paraId="7FA15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89" w:type="dxa"/>
            <w:vAlign w:val="center"/>
          </w:tcPr>
          <w:p w14:paraId="2305B6A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CPU4</w:t>
            </w:r>
          </w:p>
        </w:tc>
        <w:tc>
          <w:tcPr>
            <w:tcW w:w="3489" w:type="dxa"/>
            <w:vAlign w:val="center"/>
          </w:tcPr>
          <w:p w14:paraId="7EF000B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承担外部温度采集并向 CPU3 上传</w:t>
            </w:r>
          </w:p>
        </w:tc>
        <w:tc>
          <w:tcPr>
            <w:tcW w:w="3489" w:type="dxa"/>
            <w:vAlign w:val="center"/>
          </w:tcPr>
          <w:p w14:paraId="5861764F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处理器、驱动、诊断、存储、看门狗和版本均已完成设计并验证</w:t>
            </w:r>
          </w:p>
        </w:tc>
      </w:tr>
      <w:tr w14:paraId="3800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89" w:type="dxa"/>
            <w:vAlign w:val="center"/>
          </w:tcPr>
          <w:p w14:paraId="5581D88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CPU4→CPU3</w:t>
            </w:r>
          </w:p>
        </w:tc>
        <w:tc>
          <w:tcPr>
            <w:tcW w:w="3489" w:type="dxa"/>
            <w:vAlign w:val="center"/>
          </w:tcPr>
          <w:p w14:paraId="7A11405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非安全数据路径，不经过 CPU2</w:t>
            </w:r>
          </w:p>
        </w:tc>
        <w:tc>
          <w:tcPr>
            <w:tcW w:w="3489" w:type="dxa"/>
            <w:vAlign w:val="center"/>
          </w:tcPr>
          <w:p w14:paraId="6E8C8A95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物理接口、协议、周期、错误处理和恢复机制已完成设计并验证</w:t>
            </w:r>
          </w:p>
        </w:tc>
      </w:tr>
      <w:tr w14:paraId="5BB0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89" w:type="dxa"/>
            <w:vAlign w:val="center"/>
          </w:tcPr>
          <w:p w14:paraId="3F1A9B1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CPU3→上位机</w:t>
            </w:r>
          </w:p>
        </w:tc>
        <w:tc>
          <w:tcPr>
            <w:tcW w:w="3489" w:type="dxa"/>
            <w:vAlign w:val="center"/>
          </w:tcPr>
          <w:p w14:paraId="54CC93B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由 CPU3 外部数字协议网关转发</w:t>
            </w:r>
          </w:p>
        </w:tc>
        <w:tc>
          <w:tcPr>
            <w:tcW w:w="3489" w:type="dxa"/>
            <w:vAlign w:val="center"/>
          </w:tcPr>
          <w:p w14:paraId="7CEECC61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字段、单位、倍率、无效值和兼容映射已完成定义并验证</w:t>
            </w:r>
          </w:p>
        </w:tc>
      </w:tr>
    </w:tbl>
    <w:p w14:paraId="3202E89C">
      <w:pPr>
        <w:rPr>
          <w:color w:val="auto"/>
        </w:rPr>
      </w:pPr>
    </w:p>
    <w:sectPr>
      <w:footerReference r:id="rId10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EBCCF">
    <w:pPr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9741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19D8DBF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D33DE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09C2D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590039">
                          <w:pPr>
                            <w:pStyle w:val="14"/>
                            <w:rPr>
                              <w:rFonts w:hint="eastAsia" w:eastAsia="华文楷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7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590039">
                    <w:pPr>
                      <w:pStyle w:val="14"/>
                      <w:rPr>
                        <w:rFonts w:hint="eastAsia" w:eastAsia="华文楷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7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6D6A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1512F7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color w:val="FF0000"/>
                              <w:lang w:val="en-US" w:eastAsia="zh-CN"/>
                            </w:rPr>
                            <w:t>12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1512F7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color w:val="FF0000"/>
                        <w:lang w:val="en-US" w:eastAsia="zh-CN"/>
                      </w:rPr>
                      <w:t>12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7116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107B2">
    <w:pPr>
      <w:pStyle w:val="15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19E24">
    <w:pPr>
      <w:pStyle w:val="15"/>
      <w:wordWrap w:val="0"/>
      <w:jc w:val="right"/>
      <w:rPr>
        <w:rFonts w:hint="default"/>
        <w:lang w:val="en-US"/>
      </w:rPr>
    </w:pPr>
    <w:r>
      <w:rPr>
        <w:rFonts w:hint="eastAsia"/>
        <w:lang w:val="en-US" w:eastAsia="zh-CN"/>
      </w:rPr>
      <w:t xml:space="preserve"> 二代储罐在线自动计量仪软件架构规格书  V0.3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8F94D"/>
    <w:multiLevelType w:val="singleLevel"/>
    <w:tmpl w:val="9348F94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2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NDU1YmQzOGM2ODY5ZjZjZDA1OGUwMzZmYzY2NzcifQ=="/>
  </w:docVars>
  <w:rsids>
    <w:rsidRoot w:val="00172A27"/>
    <w:rsid w:val="00026C22"/>
    <w:rsid w:val="0003795D"/>
    <w:rsid w:val="00053035"/>
    <w:rsid w:val="00064050"/>
    <w:rsid w:val="00072296"/>
    <w:rsid w:val="000A4972"/>
    <w:rsid w:val="0016239C"/>
    <w:rsid w:val="001A11CD"/>
    <w:rsid w:val="001C16D6"/>
    <w:rsid w:val="001D20DC"/>
    <w:rsid w:val="002070F3"/>
    <w:rsid w:val="0026646A"/>
    <w:rsid w:val="002A72DC"/>
    <w:rsid w:val="003008F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2132B"/>
    <w:rsid w:val="005479C5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71EAC"/>
    <w:rsid w:val="00E84B36"/>
    <w:rsid w:val="00E978A1"/>
    <w:rsid w:val="00F04A51"/>
    <w:rsid w:val="00F34762"/>
    <w:rsid w:val="00F57433"/>
    <w:rsid w:val="00F64437"/>
    <w:rsid w:val="00F65C09"/>
    <w:rsid w:val="00F86933"/>
    <w:rsid w:val="00FA10B3"/>
    <w:rsid w:val="00FB1490"/>
    <w:rsid w:val="010072FB"/>
    <w:rsid w:val="01046B0D"/>
    <w:rsid w:val="010C3349"/>
    <w:rsid w:val="010D2660"/>
    <w:rsid w:val="0112632A"/>
    <w:rsid w:val="0118307C"/>
    <w:rsid w:val="011B54D8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60C4A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867E41"/>
    <w:rsid w:val="02922A16"/>
    <w:rsid w:val="0295322F"/>
    <w:rsid w:val="02A67EF5"/>
    <w:rsid w:val="02AA237B"/>
    <w:rsid w:val="02AB6D62"/>
    <w:rsid w:val="02AD43F9"/>
    <w:rsid w:val="02B0310F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247659"/>
    <w:rsid w:val="0324774D"/>
    <w:rsid w:val="032719AF"/>
    <w:rsid w:val="03274106"/>
    <w:rsid w:val="03293E22"/>
    <w:rsid w:val="032E05D6"/>
    <w:rsid w:val="03345AEF"/>
    <w:rsid w:val="03372D51"/>
    <w:rsid w:val="0340409A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F17C5"/>
    <w:rsid w:val="03823763"/>
    <w:rsid w:val="038500F8"/>
    <w:rsid w:val="038606C8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2288A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C33078"/>
    <w:rsid w:val="04CE46F1"/>
    <w:rsid w:val="04D07E97"/>
    <w:rsid w:val="04DA4BC9"/>
    <w:rsid w:val="04DA7F2F"/>
    <w:rsid w:val="04E64379"/>
    <w:rsid w:val="04E75137"/>
    <w:rsid w:val="04E95B85"/>
    <w:rsid w:val="04EF5588"/>
    <w:rsid w:val="04F06D8A"/>
    <w:rsid w:val="04F63632"/>
    <w:rsid w:val="04F8187D"/>
    <w:rsid w:val="04FB0BD4"/>
    <w:rsid w:val="04FE65BA"/>
    <w:rsid w:val="05005E67"/>
    <w:rsid w:val="05043B3B"/>
    <w:rsid w:val="050E0F3D"/>
    <w:rsid w:val="051100FA"/>
    <w:rsid w:val="051950CA"/>
    <w:rsid w:val="051B1874"/>
    <w:rsid w:val="051B38F2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613BC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76A5"/>
    <w:rsid w:val="059A3784"/>
    <w:rsid w:val="059B0048"/>
    <w:rsid w:val="05A13962"/>
    <w:rsid w:val="05A17460"/>
    <w:rsid w:val="05A975E9"/>
    <w:rsid w:val="05AA041E"/>
    <w:rsid w:val="05AD3967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74F20"/>
    <w:rsid w:val="0601685A"/>
    <w:rsid w:val="060858F4"/>
    <w:rsid w:val="060938AE"/>
    <w:rsid w:val="060F4C22"/>
    <w:rsid w:val="060F663F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57C20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84450"/>
    <w:rsid w:val="075C7F43"/>
    <w:rsid w:val="07606AE9"/>
    <w:rsid w:val="076A0B27"/>
    <w:rsid w:val="077200AF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258D6"/>
    <w:rsid w:val="07D67A39"/>
    <w:rsid w:val="07D9239E"/>
    <w:rsid w:val="07DC2B88"/>
    <w:rsid w:val="07DE2DA0"/>
    <w:rsid w:val="07E53A8C"/>
    <w:rsid w:val="07F22339"/>
    <w:rsid w:val="07FA1082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A20F8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AF1E65"/>
    <w:rsid w:val="09B315AC"/>
    <w:rsid w:val="09B705C8"/>
    <w:rsid w:val="09CB63D5"/>
    <w:rsid w:val="09CE776F"/>
    <w:rsid w:val="09D07E0A"/>
    <w:rsid w:val="09D27286"/>
    <w:rsid w:val="09D40E5B"/>
    <w:rsid w:val="09D973F0"/>
    <w:rsid w:val="09E60573"/>
    <w:rsid w:val="09EA33AB"/>
    <w:rsid w:val="09EA4A32"/>
    <w:rsid w:val="09EB496E"/>
    <w:rsid w:val="09ED17D3"/>
    <w:rsid w:val="09F27516"/>
    <w:rsid w:val="09FA391A"/>
    <w:rsid w:val="09FC6D3B"/>
    <w:rsid w:val="09FF46C5"/>
    <w:rsid w:val="09FF626C"/>
    <w:rsid w:val="0A0158E6"/>
    <w:rsid w:val="0A037747"/>
    <w:rsid w:val="0A063736"/>
    <w:rsid w:val="0A073EC4"/>
    <w:rsid w:val="0A0B54D8"/>
    <w:rsid w:val="0A0C0F3B"/>
    <w:rsid w:val="0A13009A"/>
    <w:rsid w:val="0A1513AA"/>
    <w:rsid w:val="0A156ABF"/>
    <w:rsid w:val="0A182E88"/>
    <w:rsid w:val="0A1A4350"/>
    <w:rsid w:val="0A1B1CD0"/>
    <w:rsid w:val="0A1F124B"/>
    <w:rsid w:val="0A23066B"/>
    <w:rsid w:val="0A27492C"/>
    <w:rsid w:val="0A2A37A7"/>
    <w:rsid w:val="0A2C17C7"/>
    <w:rsid w:val="0A2C2930"/>
    <w:rsid w:val="0A2C42CB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2D79F3"/>
    <w:rsid w:val="0B3D69EE"/>
    <w:rsid w:val="0B3E7E3C"/>
    <w:rsid w:val="0B4113EF"/>
    <w:rsid w:val="0B416A5E"/>
    <w:rsid w:val="0B495EAF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76F3C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BFA53FB"/>
    <w:rsid w:val="0C01404E"/>
    <w:rsid w:val="0C0A6618"/>
    <w:rsid w:val="0C0C6874"/>
    <w:rsid w:val="0C0F534B"/>
    <w:rsid w:val="0C1A709D"/>
    <w:rsid w:val="0C1E155D"/>
    <w:rsid w:val="0C236050"/>
    <w:rsid w:val="0C270EC8"/>
    <w:rsid w:val="0C273376"/>
    <w:rsid w:val="0C2B07D5"/>
    <w:rsid w:val="0C3C7319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6116E"/>
    <w:rsid w:val="0CE77BBC"/>
    <w:rsid w:val="0CE91D62"/>
    <w:rsid w:val="0CE96593"/>
    <w:rsid w:val="0CEC275F"/>
    <w:rsid w:val="0CEE726A"/>
    <w:rsid w:val="0CEF15F7"/>
    <w:rsid w:val="0CF45B88"/>
    <w:rsid w:val="0CF46AA3"/>
    <w:rsid w:val="0CF76E2B"/>
    <w:rsid w:val="0CF938C3"/>
    <w:rsid w:val="0CFA0817"/>
    <w:rsid w:val="0CFD39C6"/>
    <w:rsid w:val="0D026C5D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5F2E96"/>
    <w:rsid w:val="0D602A31"/>
    <w:rsid w:val="0D6130D3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A11FD2"/>
    <w:rsid w:val="0DB241C0"/>
    <w:rsid w:val="0DB42303"/>
    <w:rsid w:val="0DBB03F7"/>
    <w:rsid w:val="0DC43625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4F5ED2"/>
    <w:rsid w:val="0E51188B"/>
    <w:rsid w:val="0E54493C"/>
    <w:rsid w:val="0E5C0288"/>
    <w:rsid w:val="0E5D4832"/>
    <w:rsid w:val="0E607EEF"/>
    <w:rsid w:val="0E6363C7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A004DC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962C3"/>
    <w:rsid w:val="0F4E3755"/>
    <w:rsid w:val="0F4F3944"/>
    <w:rsid w:val="0F5150B2"/>
    <w:rsid w:val="0F537658"/>
    <w:rsid w:val="0F576D31"/>
    <w:rsid w:val="0F59348D"/>
    <w:rsid w:val="0F5E4CF8"/>
    <w:rsid w:val="0F5F1721"/>
    <w:rsid w:val="0F5F7D3E"/>
    <w:rsid w:val="0F612C6A"/>
    <w:rsid w:val="0F650063"/>
    <w:rsid w:val="0F65312E"/>
    <w:rsid w:val="0F6D5DAB"/>
    <w:rsid w:val="0F725AC4"/>
    <w:rsid w:val="0F775C44"/>
    <w:rsid w:val="0F786D63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A2510"/>
    <w:rsid w:val="101D0683"/>
    <w:rsid w:val="101E5B5C"/>
    <w:rsid w:val="101F3FA6"/>
    <w:rsid w:val="101F5A19"/>
    <w:rsid w:val="102256BE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97CD5"/>
    <w:rsid w:val="10DD2466"/>
    <w:rsid w:val="10DF56A0"/>
    <w:rsid w:val="10E47716"/>
    <w:rsid w:val="10ED66BD"/>
    <w:rsid w:val="10EE2FE4"/>
    <w:rsid w:val="10EF7936"/>
    <w:rsid w:val="10F3084A"/>
    <w:rsid w:val="10F56FDD"/>
    <w:rsid w:val="11010DD4"/>
    <w:rsid w:val="110331AF"/>
    <w:rsid w:val="110A2158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C527C"/>
    <w:rsid w:val="11DD55A3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11D10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E37E8"/>
    <w:rsid w:val="12705C9E"/>
    <w:rsid w:val="12725A94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1CFF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525D9"/>
    <w:rsid w:val="139C1726"/>
    <w:rsid w:val="139C6FE7"/>
    <w:rsid w:val="13A3562B"/>
    <w:rsid w:val="13A90EC6"/>
    <w:rsid w:val="13B07646"/>
    <w:rsid w:val="13BD63BF"/>
    <w:rsid w:val="13C56BA5"/>
    <w:rsid w:val="13D00CC3"/>
    <w:rsid w:val="13D459C5"/>
    <w:rsid w:val="13D54354"/>
    <w:rsid w:val="13D86AA0"/>
    <w:rsid w:val="13E14DA6"/>
    <w:rsid w:val="13E954DD"/>
    <w:rsid w:val="13EC2013"/>
    <w:rsid w:val="13EF19E3"/>
    <w:rsid w:val="13EF40C7"/>
    <w:rsid w:val="13F10FD8"/>
    <w:rsid w:val="13F1259C"/>
    <w:rsid w:val="13F33034"/>
    <w:rsid w:val="140665E1"/>
    <w:rsid w:val="14095A31"/>
    <w:rsid w:val="14097EF9"/>
    <w:rsid w:val="140E6B7C"/>
    <w:rsid w:val="140E6CE2"/>
    <w:rsid w:val="1410454B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04C0"/>
    <w:rsid w:val="14DB5BF6"/>
    <w:rsid w:val="14DE23FF"/>
    <w:rsid w:val="14E03F20"/>
    <w:rsid w:val="14E24223"/>
    <w:rsid w:val="14EA570E"/>
    <w:rsid w:val="14F44762"/>
    <w:rsid w:val="14F6564F"/>
    <w:rsid w:val="14F7315A"/>
    <w:rsid w:val="14FA7D72"/>
    <w:rsid w:val="14FB646C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15B50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26D4"/>
    <w:rsid w:val="174A40F9"/>
    <w:rsid w:val="174B2476"/>
    <w:rsid w:val="174F6FEC"/>
    <w:rsid w:val="175325E8"/>
    <w:rsid w:val="17542D9D"/>
    <w:rsid w:val="175449BE"/>
    <w:rsid w:val="175A482D"/>
    <w:rsid w:val="175C0661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95702"/>
    <w:rsid w:val="17BA009F"/>
    <w:rsid w:val="17C36FB6"/>
    <w:rsid w:val="17C52471"/>
    <w:rsid w:val="17C54BC4"/>
    <w:rsid w:val="17C65338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72F95"/>
    <w:rsid w:val="188A0399"/>
    <w:rsid w:val="188C1635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82860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10625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B58B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B23BE"/>
    <w:rsid w:val="1ABF464E"/>
    <w:rsid w:val="1ACA03A2"/>
    <w:rsid w:val="1AD05F89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45FF1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1236"/>
    <w:rsid w:val="1B726685"/>
    <w:rsid w:val="1B7742EA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A1A6B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B0197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44C84"/>
    <w:rsid w:val="1C660B1B"/>
    <w:rsid w:val="1C717040"/>
    <w:rsid w:val="1C751086"/>
    <w:rsid w:val="1C787222"/>
    <w:rsid w:val="1C796D83"/>
    <w:rsid w:val="1C7A3380"/>
    <w:rsid w:val="1C7C4A0E"/>
    <w:rsid w:val="1C7E6E1C"/>
    <w:rsid w:val="1C856AAC"/>
    <w:rsid w:val="1C87352F"/>
    <w:rsid w:val="1C8D6547"/>
    <w:rsid w:val="1C926CC3"/>
    <w:rsid w:val="1C975EB1"/>
    <w:rsid w:val="1C9C1FC7"/>
    <w:rsid w:val="1CA020D9"/>
    <w:rsid w:val="1CA27B15"/>
    <w:rsid w:val="1CA63AB3"/>
    <w:rsid w:val="1CAC600C"/>
    <w:rsid w:val="1CB11D43"/>
    <w:rsid w:val="1CB33E30"/>
    <w:rsid w:val="1CB36AE5"/>
    <w:rsid w:val="1CB504E5"/>
    <w:rsid w:val="1CB51C40"/>
    <w:rsid w:val="1CBD1DD5"/>
    <w:rsid w:val="1CBD66FD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F72B13"/>
    <w:rsid w:val="1CF74492"/>
    <w:rsid w:val="1CFF34FB"/>
    <w:rsid w:val="1D02422A"/>
    <w:rsid w:val="1D025A4C"/>
    <w:rsid w:val="1D0820CF"/>
    <w:rsid w:val="1D0E339D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84747"/>
    <w:rsid w:val="1D897EDF"/>
    <w:rsid w:val="1D8D0649"/>
    <w:rsid w:val="1D8F6810"/>
    <w:rsid w:val="1D937D1A"/>
    <w:rsid w:val="1D9B5122"/>
    <w:rsid w:val="1D9C71C1"/>
    <w:rsid w:val="1DA60432"/>
    <w:rsid w:val="1DA76746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229C"/>
    <w:rsid w:val="1E295A56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C282B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90CE7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C85661"/>
    <w:rsid w:val="1ECC1683"/>
    <w:rsid w:val="1ED13201"/>
    <w:rsid w:val="1ED25736"/>
    <w:rsid w:val="1EE03184"/>
    <w:rsid w:val="1EE42972"/>
    <w:rsid w:val="1EEA4E12"/>
    <w:rsid w:val="1EF146C0"/>
    <w:rsid w:val="1EF27A5F"/>
    <w:rsid w:val="1EF61162"/>
    <w:rsid w:val="1EF725D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54DB"/>
    <w:rsid w:val="1F4A11C9"/>
    <w:rsid w:val="1F545FB0"/>
    <w:rsid w:val="1F5528F4"/>
    <w:rsid w:val="1F580C51"/>
    <w:rsid w:val="1F581EB0"/>
    <w:rsid w:val="1F592789"/>
    <w:rsid w:val="1F5F1CED"/>
    <w:rsid w:val="1F6226BF"/>
    <w:rsid w:val="1F645845"/>
    <w:rsid w:val="1F68329C"/>
    <w:rsid w:val="1F696188"/>
    <w:rsid w:val="1F715668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A6ACB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A282A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7276"/>
    <w:rsid w:val="210E3E56"/>
    <w:rsid w:val="210E48AE"/>
    <w:rsid w:val="211A2773"/>
    <w:rsid w:val="211A3D20"/>
    <w:rsid w:val="211B3662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2070D9D"/>
    <w:rsid w:val="220A567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416FB4"/>
    <w:rsid w:val="24476C37"/>
    <w:rsid w:val="2448377B"/>
    <w:rsid w:val="244D6F8C"/>
    <w:rsid w:val="24503145"/>
    <w:rsid w:val="24545A10"/>
    <w:rsid w:val="24586A98"/>
    <w:rsid w:val="24597D91"/>
    <w:rsid w:val="246061CB"/>
    <w:rsid w:val="24626A9B"/>
    <w:rsid w:val="246F78F6"/>
    <w:rsid w:val="247654F2"/>
    <w:rsid w:val="247C6E9E"/>
    <w:rsid w:val="247F6F10"/>
    <w:rsid w:val="2480073C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DF3477"/>
    <w:rsid w:val="24F2195A"/>
    <w:rsid w:val="24F37FF2"/>
    <w:rsid w:val="24F6324B"/>
    <w:rsid w:val="24FB10FF"/>
    <w:rsid w:val="24FD7B2A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CE54D7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A6F36"/>
    <w:rsid w:val="261133AA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693945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41946"/>
    <w:rsid w:val="272B3D56"/>
    <w:rsid w:val="272D664C"/>
    <w:rsid w:val="27306990"/>
    <w:rsid w:val="27350A5D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773B18"/>
    <w:rsid w:val="277918D4"/>
    <w:rsid w:val="277F5528"/>
    <w:rsid w:val="278241C9"/>
    <w:rsid w:val="278B77F9"/>
    <w:rsid w:val="27902326"/>
    <w:rsid w:val="2794532C"/>
    <w:rsid w:val="279631E2"/>
    <w:rsid w:val="279A1959"/>
    <w:rsid w:val="279A1BD3"/>
    <w:rsid w:val="279F3851"/>
    <w:rsid w:val="27A322C7"/>
    <w:rsid w:val="27A44741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52195"/>
    <w:rsid w:val="280A17A4"/>
    <w:rsid w:val="280B6E76"/>
    <w:rsid w:val="2812140B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76452"/>
    <w:rsid w:val="29297658"/>
    <w:rsid w:val="292A17CF"/>
    <w:rsid w:val="292C36A4"/>
    <w:rsid w:val="29302B4E"/>
    <w:rsid w:val="29360EA5"/>
    <w:rsid w:val="293A6A27"/>
    <w:rsid w:val="293E3B62"/>
    <w:rsid w:val="293E7138"/>
    <w:rsid w:val="294164ED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81BF0"/>
    <w:rsid w:val="299B4D08"/>
    <w:rsid w:val="299F1E59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54B8F"/>
    <w:rsid w:val="2A1D4C7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B25B2"/>
    <w:rsid w:val="2BDD46C6"/>
    <w:rsid w:val="2BE91116"/>
    <w:rsid w:val="2BF20C22"/>
    <w:rsid w:val="2BF863AA"/>
    <w:rsid w:val="2BFC0D5A"/>
    <w:rsid w:val="2C026598"/>
    <w:rsid w:val="2C0546D9"/>
    <w:rsid w:val="2C071397"/>
    <w:rsid w:val="2C0A2CB5"/>
    <w:rsid w:val="2C0B314A"/>
    <w:rsid w:val="2C121EAD"/>
    <w:rsid w:val="2C1632B6"/>
    <w:rsid w:val="2C1973A0"/>
    <w:rsid w:val="2C206304"/>
    <w:rsid w:val="2C22639F"/>
    <w:rsid w:val="2C2C2F57"/>
    <w:rsid w:val="2C2F0F11"/>
    <w:rsid w:val="2C337EC5"/>
    <w:rsid w:val="2C342278"/>
    <w:rsid w:val="2C3710D4"/>
    <w:rsid w:val="2C3F7BF7"/>
    <w:rsid w:val="2C401CB8"/>
    <w:rsid w:val="2C420D92"/>
    <w:rsid w:val="2C461D31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20E3E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3D4211"/>
    <w:rsid w:val="2E3E5683"/>
    <w:rsid w:val="2E410846"/>
    <w:rsid w:val="2E4369C1"/>
    <w:rsid w:val="2E4C7D47"/>
    <w:rsid w:val="2E5F498A"/>
    <w:rsid w:val="2E633469"/>
    <w:rsid w:val="2E643ECD"/>
    <w:rsid w:val="2E7609F1"/>
    <w:rsid w:val="2E7A3EE8"/>
    <w:rsid w:val="2E7D6BDF"/>
    <w:rsid w:val="2E83417A"/>
    <w:rsid w:val="2E925476"/>
    <w:rsid w:val="2E957D9D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E030F"/>
    <w:rsid w:val="2ECF333E"/>
    <w:rsid w:val="2ED16C29"/>
    <w:rsid w:val="2ED23829"/>
    <w:rsid w:val="2ED27BD2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D475A"/>
    <w:rsid w:val="2FDE0A0C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05EAB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D2840"/>
    <w:rsid w:val="309E4A1F"/>
    <w:rsid w:val="309F6760"/>
    <w:rsid w:val="309F6B06"/>
    <w:rsid w:val="30A241B7"/>
    <w:rsid w:val="30A31320"/>
    <w:rsid w:val="30A44D0B"/>
    <w:rsid w:val="30AC4667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77A5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23B02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8183E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56A25"/>
    <w:rsid w:val="31C82DE9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D511E"/>
    <w:rsid w:val="321F730B"/>
    <w:rsid w:val="322006C4"/>
    <w:rsid w:val="3225538B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64204C"/>
    <w:rsid w:val="326A4335"/>
    <w:rsid w:val="326C4E0F"/>
    <w:rsid w:val="32701194"/>
    <w:rsid w:val="327026AD"/>
    <w:rsid w:val="32765443"/>
    <w:rsid w:val="327B5084"/>
    <w:rsid w:val="327C0C48"/>
    <w:rsid w:val="327F4A2A"/>
    <w:rsid w:val="327F64D7"/>
    <w:rsid w:val="327F72CC"/>
    <w:rsid w:val="32845443"/>
    <w:rsid w:val="328A0AF5"/>
    <w:rsid w:val="328B4651"/>
    <w:rsid w:val="329D34C4"/>
    <w:rsid w:val="329F02D1"/>
    <w:rsid w:val="32A63CD1"/>
    <w:rsid w:val="32A66D5B"/>
    <w:rsid w:val="32AA1F53"/>
    <w:rsid w:val="32AB13CB"/>
    <w:rsid w:val="32AD33BB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5B01"/>
    <w:rsid w:val="32F155DE"/>
    <w:rsid w:val="32F95795"/>
    <w:rsid w:val="32FA44A7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54745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E771B"/>
    <w:rsid w:val="33DF6425"/>
    <w:rsid w:val="33E47246"/>
    <w:rsid w:val="33E553BF"/>
    <w:rsid w:val="33EA1D1A"/>
    <w:rsid w:val="33ED7470"/>
    <w:rsid w:val="33F702EF"/>
    <w:rsid w:val="33F867C9"/>
    <w:rsid w:val="33FA24D8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28494C"/>
    <w:rsid w:val="343A7E2F"/>
    <w:rsid w:val="343D66FD"/>
    <w:rsid w:val="34490D35"/>
    <w:rsid w:val="344D21C4"/>
    <w:rsid w:val="344F2ECA"/>
    <w:rsid w:val="345217D5"/>
    <w:rsid w:val="34552BF9"/>
    <w:rsid w:val="345813EB"/>
    <w:rsid w:val="34596AEA"/>
    <w:rsid w:val="345A42E0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778C5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D0342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91B4F"/>
    <w:rsid w:val="353D287C"/>
    <w:rsid w:val="35406228"/>
    <w:rsid w:val="35415BC2"/>
    <w:rsid w:val="3548138F"/>
    <w:rsid w:val="35500741"/>
    <w:rsid w:val="35531555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71D1B"/>
    <w:rsid w:val="35AD7A00"/>
    <w:rsid w:val="35AE2539"/>
    <w:rsid w:val="35AE7F3D"/>
    <w:rsid w:val="35B02E89"/>
    <w:rsid w:val="35B6285E"/>
    <w:rsid w:val="35C139EB"/>
    <w:rsid w:val="35C34724"/>
    <w:rsid w:val="35C81F43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3E52"/>
    <w:rsid w:val="36D17791"/>
    <w:rsid w:val="36DE6A93"/>
    <w:rsid w:val="36DF7E04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166CDE"/>
    <w:rsid w:val="37235957"/>
    <w:rsid w:val="37244816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F46DC"/>
    <w:rsid w:val="376258E0"/>
    <w:rsid w:val="37674237"/>
    <w:rsid w:val="376A5040"/>
    <w:rsid w:val="376B696B"/>
    <w:rsid w:val="376E55C2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F333F"/>
    <w:rsid w:val="37C0564F"/>
    <w:rsid w:val="37C062CC"/>
    <w:rsid w:val="37CA39EA"/>
    <w:rsid w:val="37CB668D"/>
    <w:rsid w:val="37CF556A"/>
    <w:rsid w:val="37D03331"/>
    <w:rsid w:val="37D23B4C"/>
    <w:rsid w:val="37D526F5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0E6EDB"/>
    <w:rsid w:val="381402CC"/>
    <w:rsid w:val="38152F86"/>
    <w:rsid w:val="381F62AB"/>
    <w:rsid w:val="382357C8"/>
    <w:rsid w:val="38313CC4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8D6F94"/>
    <w:rsid w:val="389214DD"/>
    <w:rsid w:val="38982F3E"/>
    <w:rsid w:val="389E3320"/>
    <w:rsid w:val="38A9489F"/>
    <w:rsid w:val="38AA67FD"/>
    <w:rsid w:val="38AC49F3"/>
    <w:rsid w:val="38AF2A08"/>
    <w:rsid w:val="38B23DB7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0F1C37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E47B3"/>
    <w:rsid w:val="39366178"/>
    <w:rsid w:val="393712BC"/>
    <w:rsid w:val="393D0F2B"/>
    <w:rsid w:val="393D3CF7"/>
    <w:rsid w:val="394033D1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99726C"/>
    <w:rsid w:val="39A20F07"/>
    <w:rsid w:val="39A232CC"/>
    <w:rsid w:val="39A30AB5"/>
    <w:rsid w:val="39A405D1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122C4"/>
    <w:rsid w:val="3A4444A3"/>
    <w:rsid w:val="3A444BBA"/>
    <w:rsid w:val="3A451DB4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8D5509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E96BE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118DF"/>
    <w:rsid w:val="3B481956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C7C11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D13E2B"/>
    <w:rsid w:val="3BD40AD2"/>
    <w:rsid w:val="3BD74CA1"/>
    <w:rsid w:val="3BD858A4"/>
    <w:rsid w:val="3BDA7FBC"/>
    <w:rsid w:val="3BE030EB"/>
    <w:rsid w:val="3BF37D2E"/>
    <w:rsid w:val="3BF701B3"/>
    <w:rsid w:val="3BFB0021"/>
    <w:rsid w:val="3C08753D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B4B39"/>
    <w:rsid w:val="3C66703C"/>
    <w:rsid w:val="3C6F21A3"/>
    <w:rsid w:val="3C726482"/>
    <w:rsid w:val="3C8C6AE5"/>
    <w:rsid w:val="3C8D359E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52F2E"/>
    <w:rsid w:val="3CCC5BEC"/>
    <w:rsid w:val="3CD34C1C"/>
    <w:rsid w:val="3CD47DF5"/>
    <w:rsid w:val="3CE25684"/>
    <w:rsid w:val="3CEC77E5"/>
    <w:rsid w:val="3CF439AC"/>
    <w:rsid w:val="3CFF5C82"/>
    <w:rsid w:val="3D006908"/>
    <w:rsid w:val="3D086710"/>
    <w:rsid w:val="3D1B0070"/>
    <w:rsid w:val="3D1B1918"/>
    <w:rsid w:val="3D1B469A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F02E3"/>
    <w:rsid w:val="3E004607"/>
    <w:rsid w:val="3E074520"/>
    <w:rsid w:val="3E0E3387"/>
    <w:rsid w:val="3E1104B6"/>
    <w:rsid w:val="3E18333B"/>
    <w:rsid w:val="3E1F6F7D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514FFC"/>
    <w:rsid w:val="3E54402B"/>
    <w:rsid w:val="3E54578D"/>
    <w:rsid w:val="3E5E0EC1"/>
    <w:rsid w:val="3E5E46B3"/>
    <w:rsid w:val="3E674211"/>
    <w:rsid w:val="3E7423F3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827606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4742"/>
    <w:rsid w:val="3FF42516"/>
    <w:rsid w:val="3FF844FC"/>
    <w:rsid w:val="3FF8484E"/>
    <w:rsid w:val="3FF954BD"/>
    <w:rsid w:val="3FFA6823"/>
    <w:rsid w:val="3FFB0EF6"/>
    <w:rsid w:val="3FFD3412"/>
    <w:rsid w:val="3FFE1BC0"/>
    <w:rsid w:val="400549AD"/>
    <w:rsid w:val="40072F26"/>
    <w:rsid w:val="400762C1"/>
    <w:rsid w:val="4007774D"/>
    <w:rsid w:val="400C0A1A"/>
    <w:rsid w:val="40104C12"/>
    <w:rsid w:val="401303F3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11D0E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2400D8"/>
    <w:rsid w:val="4127287E"/>
    <w:rsid w:val="41273B9B"/>
    <w:rsid w:val="41280CF3"/>
    <w:rsid w:val="412955AF"/>
    <w:rsid w:val="412C3889"/>
    <w:rsid w:val="41311AD2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87E5B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799F"/>
    <w:rsid w:val="41E20255"/>
    <w:rsid w:val="41E65D19"/>
    <w:rsid w:val="41EA217A"/>
    <w:rsid w:val="41F8595E"/>
    <w:rsid w:val="41FC46A4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378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C2F60"/>
    <w:rsid w:val="42FD76C2"/>
    <w:rsid w:val="43000B78"/>
    <w:rsid w:val="430959F2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4E4F24"/>
    <w:rsid w:val="4351373A"/>
    <w:rsid w:val="43526B23"/>
    <w:rsid w:val="4357122D"/>
    <w:rsid w:val="43601A0D"/>
    <w:rsid w:val="4363770C"/>
    <w:rsid w:val="436523AF"/>
    <w:rsid w:val="43725542"/>
    <w:rsid w:val="43752A8D"/>
    <w:rsid w:val="43764450"/>
    <w:rsid w:val="437754F8"/>
    <w:rsid w:val="43782382"/>
    <w:rsid w:val="437907BF"/>
    <w:rsid w:val="437C7FCC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E04736"/>
    <w:rsid w:val="43E270AB"/>
    <w:rsid w:val="43E46373"/>
    <w:rsid w:val="43F8620C"/>
    <w:rsid w:val="43F87DCC"/>
    <w:rsid w:val="43FA2B46"/>
    <w:rsid w:val="43FE30F9"/>
    <w:rsid w:val="43FF7F09"/>
    <w:rsid w:val="440A4601"/>
    <w:rsid w:val="440D1BAF"/>
    <w:rsid w:val="440F3E9C"/>
    <w:rsid w:val="44181874"/>
    <w:rsid w:val="441E6914"/>
    <w:rsid w:val="442B4094"/>
    <w:rsid w:val="44350C70"/>
    <w:rsid w:val="44383F2C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335B5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DE20FB"/>
    <w:rsid w:val="44DF2E05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7F44"/>
    <w:rsid w:val="45DA0040"/>
    <w:rsid w:val="45DA2B82"/>
    <w:rsid w:val="45DB181E"/>
    <w:rsid w:val="45E25EA7"/>
    <w:rsid w:val="45E506D5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2B0E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35DB3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A5E49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9E7576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4484"/>
    <w:rsid w:val="4C391C67"/>
    <w:rsid w:val="4C4D352C"/>
    <w:rsid w:val="4C542EE6"/>
    <w:rsid w:val="4C5F1FA0"/>
    <w:rsid w:val="4C5F2BC8"/>
    <w:rsid w:val="4C6C1CC8"/>
    <w:rsid w:val="4C7847BB"/>
    <w:rsid w:val="4C792D1A"/>
    <w:rsid w:val="4C794D97"/>
    <w:rsid w:val="4C7A4D39"/>
    <w:rsid w:val="4C824C8C"/>
    <w:rsid w:val="4C84401D"/>
    <w:rsid w:val="4C856E0D"/>
    <w:rsid w:val="4C883D82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BC275B"/>
    <w:rsid w:val="4CC82BC5"/>
    <w:rsid w:val="4CCA2C34"/>
    <w:rsid w:val="4CD7013F"/>
    <w:rsid w:val="4CD8567C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D025006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C6D68"/>
    <w:rsid w:val="4D5D21FF"/>
    <w:rsid w:val="4D616A12"/>
    <w:rsid w:val="4D6453BC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20EE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6033F6"/>
    <w:rsid w:val="4E627828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F57F1"/>
    <w:rsid w:val="4EC06D24"/>
    <w:rsid w:val="4EC45545"/>
    <w:rsid w:val="4EC527D5"/>
    <w:rsid w:val="4EC8663D"/>
    <w:rsid w:val="4EC9236F"/>
    <w:rsid w:val="4ED11F1A"/>
    <w:rsid w:val="4ED45C0C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732E8"/>
    <w:rsid w:val="4F1E227B"/>
    <w:rsid w:val="4F1F3558"/>
    <w:rsid w:val="4F220567"/>
    <w:rsid w:val="4F2A0996"/>
    <w:rsid w:val="4F343AD2"/>
    <w:rsid w:val="4F36369F"/>
    <w:rsid w:val="4F364FD9"/>
    <w:rsid w:val="4F3F2245"/>
    <w:rsid w:val="4F3F5143"/>
    <w:rsid w:val="4F494B52"/>
    <w:rsid w:val="4F573D83"/>
    <w:rsid w:val="4F5D14F6"/>
    <w:rsid w:val="4F5F1929"/>
    <w:rsid w:val="4F6669C0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927CF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86049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65E55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94047"/>
    <w:rsid w:val="509A6E96"/>
    <w:rsid w:val="509C528B"/>
    <w:rsid w:val="50A01E44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E85A84"/>
    <w:rsid w:val="50FA6AE5"/>
    <w:rsid w:val="50FB4F55"/>
    <w:rsid w:val="50FD4B3A"/>
    <w:rsid w:val="50FF2A72"/>
    <w:rsid w:val="51003724"/>
    <w:rsid w:val="51027547"/>
    <w:rsid w:val="51073C3A"/>
    <w:rsid w:val="510E52B0"/>
    <w:rsid w:val="51146F92"/>
    <w:rsid w:val="511F19BC"/>
    <w:rsid w:val="51207A7B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95E4B"/>
    <w:rsid w:val="519963C4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0FB5"/>
    <w:rsid w:val="52076256"/>
    <w:rsid w:val="5215507E"/>
    <w:rsid w:val="52182EB4"/>
    <w:rsid w:val="52202B94"/>
    <w:rsid w:val="52204DFD"/>
    <w:rsid w:val="5220597E"/>
    <w:rsid w:val="522B6BE3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C3CE7"/>
    <w:rsid w:val="525E14DF"/>
    <w:rsid w:val="525E28CD"/>
    <w:rsid w:val="52665DD3"/>
    <w:rsid w:val="526815B5"/>
    <w:rsid w:val="526D3765"/>
    <w:rsid w:val="52774B2D"/>
    <w:rsid w:val="527B23BF"/>
    <w:rsid w:val="527C6042"/>
    <w:rsid w:val="5281233A"/>
    <w:rsid w:val="52812568"/>
    <w:rsid w:val="528347EB"/>
    <w:rsid w:val="52855F07"/>
    <w:rsid w:val="528A2C05"/>
    <w:rsid w:val="52946726"/>
    <w:rsid w:val="529719DA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4FC530D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50A62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2F90"/>
    <w:rsid w:val="55877D83"/>
    <w:rsid w:val="558A5B85"/>
    <w:rsid w:val="558C043F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5FE75AC"/>
    <w:rsid w:val="56080795"/>
    <w:rsid w:val="560A7476"/>
    <w:rsid w:val="560C4296"/>
    <w:rsid w:val="560F3CC5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7023DD7"/>
    <w:rsid w:val="57072C0C"/>
    <w:rsid w:val="570B718E"/>
    <w:rsid w:val="57140A46"/>
    <w:rsid w:val="571E3A90"/>
    <w:rsid w:val="5724474E"/>
    <w:rsid w:val="572622DB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60097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5CC6"/>
    <w:rsid w:val="581D74D7"/>
    <w:rsid w:val="58200964"/>
    <w:rsid w:val="583020B0"/>
    <w:rsid w:val="58320022"/>
    <w:rsid w:val="58327515"/>
    <w:rsid w:val="583563C6"/>
    <w:rsid w:val="58362646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9F7F28"/>
    <w:rsid w:val="58AD4E3F"/>
    <w:rsid w:val="58AE6DE5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155AF"/>
    <w:rsid w:val="5A536BA4"/>
    <w:rsid w:val="5A5372C7"/>
    <w:rsid w:val="5A54269C"/>
    <w:rsid w:val="5A542E79"/>
    <w:rsid w:val="5A557D73"/>
    <w:rsid w:val="5A6D2D98"/>
    <w:rsid w:val="5A752DDB"/>
    <w:rsid w:val="5A796A71"/>
    <w:rsid w:val="5A7A0B28"/>
    <w:rsid w:val="5A7A134B"/>
    <w:rsid w:val="5A7F744F"/>
    <w:rsid w:val="5A841744"/>
    <w:rsid w:val="5A877874"/>
    <w:rsid w:val="5A895411"/>
    <w:rsid w:val="5A9124DC"/>
    <w:rsid w:val="5A944BDE"/>
    <w:rsid w:val="5A9658B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B781D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91466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21D62"/>
    <w:rsid w:val="5BD6176C"/>
    <w:rsid w:val="5BDB3E89"/>
    <w:rsid w:val="5BEB136C"/>
    <w:rsid w:val="5BEF4D26"/>
    <w:rsid w:val="5BF104DF"/>
    <w:rsid w:val="5BF94017"/>
    <w:rsid w:val="5BFE5233"/>
    <w:rsid w:val="5BFF00D6"/>
    <w:rsid w:val="5BFF4C45"/>
    <w:rsid w:val="5C04769A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7F40"/>
    <w:rsid w:val="5C4B1B16"/>
    <w:rsid w:val="5C50425C"/>
    <w:rsid w:val="5C504F5C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E303E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30C4"/>
    <w:rsid w:val="5CC14505"/>
    <w:rsid w:val="5CC61BAC"/>
    <w:rsid w:val="5CCA1C2B"/>
    <w:rsid w:val="5CCF54E8"/>
    <w:rsid w:val="5CD03AFA"/>
    <w:rsid w:val="5CD91448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2E62B6"/>
    <w:rsid w:val="5D300E63"/>
    <w:rsid w:val="5D342568"/>
    <w:rsid w:val="5D351437"/>
    <w:rsid w:val="5D356984"/>
    <w:rsid w:val="5D3D6076"/>
    <w:rsid w:val="5D3E1D26"/>
    <w:rsid w:val="5D4015A5"/>
    <w:rsid w:val="5D44292B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873B6"/>
    <w:rsid w:val="5E3923A3"/>
    <w:rsid w:val="5E395924"/>
    <w:rsid w:val="5E3B664D"/>
    <w:rsid w:val="5E3D6589"/>
    <w:rsid w:val="5E3D7343"/>
    <w:rsid w:val="5E3D78CD"/>
    <w:rsid w:val="5E4532B1"/>
    <w:rsid w:val="5E470BD9"/>
    <w:rsid w:val="5E4B4F34"/>
    <w:rsid w:val="5E4D7D67"/>
    <w:rsid w:val="5E5E5998"/>
    <w:rsid w:val="5E631F59"/>
    <w:rsid w:val="5E644C1A"/>
    <w:rsid w:val="5E670365"/>
    <w:rsid w:val="5E6B1309"/>
    <w:rsid w:val="5E6B73C5"/>
    <w:rsid w:val="5E703B42"/>
    <w:rsid w:val="5E7064D4"/>
    <w:rsid w:val="5E714676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567C6F"/>
    <w:rsid w:val="5F5B28CC"/>
    <w:rsid w:val="5F5C6B43"/>
    <w:rsid w:val="5F5D3391"/>
    <w:rsid w:val="5F5D3EAE"/>
    <w:rsid w:val="5F5D7503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766DD"/>
    <w:rsid w:val="5FB82797"/>
    <w:rsid w:val="5FBF562F"/>
    <w:rsid w:val="5FC46893"/>
    <w:rsid w:val="5FCD3B2E"/>
    <w:rsid w:val="5FCD5BBF"/>
    <w:rsid w:val="5FD000CF"/>
    <w:rsid w:val="5FD24FFC"/>
    <w:rsid w:val="5FD71485"/>
    <w:rsid w:val="5FD8579B"/>
    <w:rsid w:val="5FDA0E62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41D28"/>
    <w:rsid w:val="60255552"/>
    <w:rsid w:val="60320B6A"/>
    <w:rsid w:val="6037613B"/>
    <w:rsid w:val="603812F4"/>
    <w:rsid w:val="603D47A0"/>
    <w:rsid w:val="60450AB8"/>
    <w:rsid w:val="60456167"/>
    <w:rsid w:val="6048417B"/>
    <w:rsid w:val="604A388B"/>
    <w:rsid w:val="604D0083"/>
    <w:rsid w:val="604D7618"/>
    <w:rsid w:val="60581C62"/>
    <w:rsid w:val="605D5BA5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096DE8"/>
    <w:rsid w:val="61110F6E"/>
    <w:rsid w:val="61112142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7F70AA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450E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7EC3"/>
    <w:rsid w:val="62544F21"/>
    <w:rsid w:val="62550DB6"/>
    <w:rsid w:val="625C4BAA"/>
    <w:rsid w:val="62621D01"/>
    <w:rsid w:val="6265107D"/>
    <w:rsid w:val="626D0D41"/>
    <w:rsid w:val="626E3FE0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223E3"/>
    <w:rsid w:val="6327322E"/>
    <w:rsid w:val="63274092"/>
    <w:rsid w:val="632A1BF5"/>
    <w:rsid w:val="632E2AC9"/>
    <w:rsid w:val="632E4013"/>
    <w:rsid w:val="63323DA4"/>
    <w:rsid w:val="63411C14"/>
    <w:rsid w:val="63463223"/>
    <w:rsid w:val="63466F88"/>
    <w:rsid w:val="634A2A58"/>
    <w:rsid w:val="634A51E5"/>
    <w:rsid w:val="634B27AA"/>
    <w:rsid w:val="634D1B88"/>
    <w:rsid w:val="63514555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C7F73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C6080"/>
    <w:rsid w:val="655E41A3"/>
    <w:rsid w:val="65606590"/>
    <w:rsid w:val="65611E62"/>
    <w:rsid w:val="65634CCE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A14F70"/>
    <w:rsid w:val="65A408B0"/>
    <w:rsid w:val="65A92D80"/>
    <w:rsid w:val="65AB5364"/>
    <w:rsid w:val="65AC0557"/>
    <w:rsid w:val="65B568D0"/>
    <w:rsid w:val="65BD2897"/>
    <w:rsid w:val="65CD7B30"/>
    <w:rsid w:val="65CE0314"/>
    <w:rsid w:val="65D0088B"/>
    <w:rsid w:val="65D00E98"/>
    <w:rsid w:val="65D51997"/>
    <w:rsid w:val="65D82210"/>
    <w:rsid w:val="65D9035B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6288C"/>
    <w:rsid w:val="664741CC"/>
    <w:rsid w:val="664963C3"/>
    <w:rsid w:val="664D557F"/>
    <w:rsid w:val="66544764"/>
    <w:rsid w:val="665474DB"/>
    <w:rsid w:val="66585179"/>
    <w:rsid w:val="665C670B"/>
    <w:rsid w:val="66614045"/>
    <w:rsid w:val="666958A3"/>
    <w:rsid w:val="666C7BFC"/>
    <w:rsid w:val="667434D8"/>
    <w:rsid w:val="6676018D"/>
    <w:rsid w:val="667F0675"/>
    <w:rsid w:val="66802FB9"/>
    <w:rsid w:val="668949C7"/>
    <w:rsid w:val="668C09C3"/>
    <w:rsid w:val="668C4AE5"/>
    <w:rsid w:val="66904A1D"/>
    <w:rsid w:val="669757B8"/>
    <w:rsid w:val="6699596A"/>
    <w:rsid w:val="66A44DDD"/>
    <w:rsid w:val="66A50EE4"/>
    <w:rsid w:val="66A56421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A345D"/>
    <w:rsid w:val="66FC492C"/>
    <w:rsid w:val="66FE5832"/>
    <w:rsid w:val="67026BB1"/>
    <w:rsid w:val="6718477C"/>
    <w:rsid w:val="67185CD9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895F3A"/>
    <w:rsid w:val="679D70EF"/>
    <w:rsid w:val="67A40C63"/>
    <w:rsid w:val="67A81EDD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055F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591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0F51B7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13EAB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E4D0F"/>
    <w:rsid w:val="69E047B5"/>
    <w:rsid w:val="69E9649C"/>
    <w:rsid w:val="69EE58A7"/>
    <w:rsid w:val="69F04FE9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62E5B"/>
    <w:rsid w:val="6A476184"/>
    <w:rsid w:val="6A4B3BC3"/>
    <w:rsid w:val="6A542DDD"/>
    <w:rsid w:val="6A5B7EE9"/>
    <w:rsid w:val="6A61144F"/>
    <w:rsid w:val="6A61569C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B18DD"/>
    <w:rsid w:val="6ADD5A9A"/>
    <w:rsid w:val="6AE25883"/>
    <w:rsid w:val="6AF918B2"/>
    <w:rsid w:val="6AFE1921"/>
    <w:rsid w:val="6B000D22"/>
    <w:rsid w:val="6B026223"/>
    <w:rsid w:val="6B05766A"/>
    <w:rsid w:val="6B0915A5"/>
    <w:rsid w:val="6B1749EB"/>
    <w:rsid w:val="6B1E2A7A"/>
    <w:rsid w:val="6B2207D3"/>
    <w:rsid w:val="6B251BE9"/>
    <w:rsid w:val="6B262156"/>
    <w:rsid w:val="6B264852"/>
    <w:rsid w:val="6B2F1C2D"/>
    <w:rsid w:val="6B355A72"/>
    <w:rsid w:val="6B366360"/>
    <w:rsid w:val="6B380739"/>
    <w:rsid w:val="6B3849D2"/>
    <w:rsid w:val="6B3910CB"/>
    <w:rsid w:val="6B393A26"/>
    <w:rsid w:val="6B3B50F8"/>
    <w:rsid w:val="6B3E5A49"/>
    <w:rsid w:val="6B475BC3"/>
    <w:rsid w:val="6B4817F9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823ED1"/>
    <w:rsid w:val="6B8C2A8E"/>
    <w:rsid w:val="6B9B3995"/>
    <w:rsid w:val="6BAE1855"/>
    <w:rsid w:val="6BAE198F"/>
    <w:rsid w:val="6BB11E01"/>
    <w:rsid w:val="6BB72CA9"/>
    <w:rsid w:val="6BC26773"/>
    <w:rsid w:val="6BC51A91"/>
    <w:rsid w:val="6BC571B4"/>
    <w:rsid w:val="6BC7558C"/>
    <w:rsid w:val="6BCA3507"/>
    <w:rsid w:val="6BD079F2"/>
    <w:rsid w:val="6BD357E9"/>
    <w:rsid w:val="6BD641A4"/>
    <w:rsid w:val="6BDA1A60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87C46"/>
    <w:rsid w:val="6CA26E11"/>
    <w:rsid w:val="6CA32834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56F44"/>
    <w:rsid w:val="6CD92B18"/>
    <w:rsid w:val="6CDC4051"/>
    <w:rsid w:val="6CDF2139"/>
    <w:rsid w:val="6CE40810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554AB"/>
    <w:rsid w:val="6DA65EA6"/>
    <w:rsid w:val="6DAE433C"/>
    <w:rsid w:val="6DAF63D2"/>
    <w:rsid w:val="6DB36461"/>
    <w:rsid w:val="6DB552DA"/>
    <w:rsid w:val="6DB67088"/>
    <w:rsid w:val="6DC736D1"/>
    <w:rsid w:val="6DCA4CEA"/>
    <w:rsid w:val="6DCB60E7"/>
    <w:rsid w:val="6DD02AD3"/>
    <w:rsid w:val="6DD06839"/>
    <w:rsid w:val="6DD22FF2"/>
    <w:rsid w:val="6DD253F9"/>
    <w:rsid w:val="6DDB106B"/>
    <w:rsid w:val="6DDB1B0C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77E5E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15E7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6A90"/>
    <w:rsid w:val="6F802E3A"/>
    <w:rsid w:val="6F885BF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356744"/>
    <w:rsid w:val="7036602D"/>
    <w:rsid w:val="70375C17"/>
    <w:rsid w:val="703845B6"/>
    <w:rsid w:val="703E62E8"/>
    <w:rsid w:val="703F51AD"/>
    <w:rsid w:val="703F5C56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85343A"/>
    <w:rsid w:val="708D5B86"/>
    <w:rsid w:val="708D6366"/>
    <w:rsid w:val="708E318F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CB04E6"/>
    <w:rsid w:val="70D54E7C"/>
    <w:rsid w:val="70DC1435"/>
    <w:rsid w:val="70E108A2"/>
    <w:rsid w:val="70EF6EEA"/>
    <w:rsid w:val="70F2491B"/>
    <w:rsid w:val="70F25FE9"/>
    <w:rsid w:val="70F3726A"/>
    <w:rsid w:val="70F854B6"/>
    <w:rsid w:val="70FB5747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44005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6E651C"/>
    <w:rsid w:val="727E74F8"/>
    <w:rsid w:val="728563E7"/>
    <w:rsid w:val="72860DD6"/>
    <w:rsid w:val="7287390B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4E1E"/>
    <w:rsid w:val="72F07630"/>
    <w:rsid w:val="72F1269B"/>
    <w:rsid w:val="72F70DEB"/>
    <w:rsid w:val="72F80E1C"/>
    <w:rsid w:val="72F84A3B"/>
    <w:rsid w:val="72FA725B"/>
    <w:rsid w:val="72FF47DF"/>
    <w:rsid w:val="730207FF"/>
    <w:rsid w:val="730461BC"/>
    <w:rsid w:val="730E1115"/>
    <w:rsid w:val="73183530"/>
    <w:rsid w:val="731854FA"/>
    <w:rsid w:val="731A6C33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D3E14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CC403C"/>
    <w:rsid w:val="73D611AF"/>
    <w:rsid w:val="73DA68CC"/>
    <w:rsid w:val="73DC70EE"/>
    <w:rsid w:val="73DE6F9D"/>
    <w:rsid w:val="73ED53CC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2D1BD6"/>
    <w:rsid w:val="743261FE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4165A"/>
    <w:rsid w:val="74885475"/>
    <w:rsid w:val="748C78FD"/>
    <w:rsid w:val="748D44C7"/>
    <w:rsid w:val="749475E1"/>
    <w:rsid w:val="74987D58"/>
    <w:rsid w:val="74A22D99"/>
    <w:rsid w:val="74A34A6B"/>
    <w:rsid w:val="74AD176C"/>
    <w:rsid w:val="74AF2846"/>
    <w:rsid w:val="74AF5063"/>
    <w:rsid w:val="74C124D5"/>
    <w:rsid w:val="74C5387F"/>
    <w:rsid w:val="74CF4924"/>
    <w:rsid w:val="74D157EE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D2182"/>
    <w:rsid w:val="750D6BD7"/>
    <w:rsid w:val="7510784D"/>
    <w:rsid w:val="75184BF6"/>
    <w:rsid w:val="751879CE"/>
    <w:rsid w:val="751A419C"/>
    <w:rsid w:val="75211ECB"/>
    <w:rsid w:val="75227140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B7A87"/>
    <w:rsid w:val="75F15949"/>
    <w:rsid w:val="75F50720"/>
    <w:rsid w:val="75F7062D"/>
    <w:rsid w:val="75F802F1"/>
    <w:rsid w:val="75FB44AC"/>
    <w:rsid w:val="760105C4"/>
    <w:rsid w:val="76086FBC"/>
    <w:rsid w:val="760D2A7F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B5D0E"/>
    <w:rsid w:val="765E447F"/>
    <w:rsid w:val="767501E5"/>
    <w:rsid w:val="7678307A"/>
    <w:rsid w:val="767A1517"/>
    <w:rsid w:val="767B3371"/>
    <w:rsid w:val="76820D98"/>
    <w:rsid w:val="76823086"/>
    <w:rsid w:val="769268F8"/>
    <w:rsid w:val="76942304"/>
    <w:rsid w:val="769D28B2"/>
    <w:rsid w:val="76A706C6"/>
    <w:rsid w:val="76A72ED3"/>
    <w:rsid w:val="76AF1834"/>
    <w:rsid w:val="76B01340"/>
    <w:rsid w:val="76B34A5A"/>
    <w:rsid w:val="76B909F3"/>
    <w:rsid w:val="76C0040A"/>
    <w:rsid w:val="76CE0431"/>
    <w:rsid w:val="76D41D36"/>
    <w:rsid w:val="76D538EF"/>
    <w:rsid w:val="76DA5EF6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1D4F43"/>
    <w:rsid w:val="77212126"/>
    <w:rsid w:val="772D3CE8"/>
    <w:rsid w:val="77346EF6"/>
    <w:rsid w:val="773752AD"/>
    <w:rsid w:val="773E1EA5"/>
    <w:rsid w:val="77422BFC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E64F8"/>
    <w:rsid w:val="77A957DC"/>
    <w:rsid w:val="77AF0E76"/>
    <w:rsid w:val="77B065DA"/>
    <w:rsid w:val="77B76DF6"/>
    <w:rsid w:val="77B806B2"/>
    <w:rsid w:val="77BA7FE0"/>
    <w:rsid w:val="77BD65B7"/>
    <w:rsid w:val="77BF3F28"/>
    <w:rsid w:val="77C35C35"/>
    <w:rsid w:val="77CB4C54"/>
    <w:rsid w:val="77CD1E80"/>
    <w:rsid w:val="77D43839"/>
    <w:rsid w:val="77D507A1"/>
    <w:rsid w:val="77D65509"/>
    <w:rsid w:val="77E7713A"/>
    <w:rsid w:val="77EA00ED"/>
    <w:rsid w:val="77EE3216"/>
    <w:rsid w:val="77F537B8"/>
    <w:rsid w:val="77F94CD2"/>
    <w:rsid w:val="77F972D9"/>
    <w:rsid w:val="77FA2D8F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8641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4E397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A3D1E"/>
    <w:rsid w:val="79DC616B"/>
    <w:rsid w:val="79E169CB"/>
    <w:rsid w:val="79E1778A"/>
    <w:rsid w:val="79E34BC3"/>
    <w:rsid w:val="79E722DF"/>
    <w:rsid w:val="79E831DD"/>
    <w:rsid w:val="79EC2905"/>
    <w:rsid w:val="79F1796C"/>
    <w:rsid w:val="79FC7092"/>
    <w:rsid w:val="79FE6DB9"/>
    <w:rsid w:val="7A043142"/>
    <w:rsid w:val="7A091715"/>
    <w:rsid w:val="7A12686B"/>
    <w:rsid w:val="7A127DAC"/>
    <w:rsid w:val="7A151176"/>
    <w:rsid w:val="7A17570B"/>
    <w:rsid w:val="7A1A6A4D"/>
    <w:rsid w:val="7A207D0C"/>
    <w:rsid w:val="7A2A64D4"/>
    <w:rsid w:val="7A350614"/>
    <w:rsid w:val="7A361D5D"/>
    <w:rsid w:val="7A3856C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C6130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E77D42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F04AB9"/>
    <w:rsid w:val="7BF16A0A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A6597"/>
    <w:rsid w:val="7C3B60D8"/>
    <w:rsid w:val="7C42196F"/>
    <w:rsid w:val="7C475B58"/>
    <w:rsid w:val="7C4F3DF1"/>
    <w:rsid w:val="7C53731C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8718C"/>
    <w:rsid w:val="7D3D3B74"/>
    <w:rsid w:val="7D3E07C1"/>
    <w:rsid w:val="7D3E49D9"/>
    <w:rsid w:val="7D453A82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6644A"/>
    <w:rsid w:val="7E0110C4"/>
    <w:rsid w:val="7E065653"/>
    <w:rsid w:val="7E0E3838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AE85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7FFBA748"/>
    <w:rsid w:val="8F304548"/>
    <w:rsid w:val="9DFFC591"/>
    <w:rsid w:val="A6BF71BE"/>
    <w:rsid w:val="BB76B1E6"/>
    <w:rsid w:val="BFF7F4A5"/>
    <w:rsid w:val="D3EF387F"/>
    <w:rsid w:val="E869F018"/>
    <w:rsid w:val="FAFB5D9D"/>
    <w:rsid w:val="FCDF64B3"/>
    <w:rsid w:val="FDCB46DF"/>
    <w:rsid w:val="FEBFC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spacing w:line="216" w:lineRule="auto"/>
      <w:ind w:left="840" w:leftChars="400"/>
    </w:pPr>
    <w:rPr>
      <w:sz w:val="18"/>
    </w:r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0"/>
    <w:pPr>
      <w:spacing w:line="252" w:lineRule="auto"/>
    </w:pPr>
    <w:rPr>
      <w:b/>
      <w:bCs/>
      <w:sz w:val="18"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qFormat/>
    <w:uiPriority w:val="0"/>
    <w:pPr>
      <w:spacing w:line="216" w:lineRule="auto"/>
      <w:ind w:left="200" w:leftChars="200"/>
    </w:pPr>
    <w:rPr>
      <w:sz w:val="18"/>
    </w:r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9.emf"/><Relationship Id="rId28" Type="http://schemas.openxmlformats.org/officeDocument/2006/relationships/oleObject" Target="embeddings/oleObject9.bin"/><Relationship Id="rId27" Type="http://schemas.openxmlformats.org/officeDocument/2006/relationships/image" Target="media/image8.emf"/><Relationship Id="rId26" Type="http://schemas.openxmlformats.org/officeDocument/2006/relationships/oleObject" Target="embeddings/oleObject8.bin"/><Relationship Id="rId25" Type="http://schemas.openxmlformats.org/officeDocument/2006/relationships/image" Target="media/image7.emf"/><Relationship Id="rId24" Type="http://schemas.openxmlformats.org/officeDocument/2006/relationships/oleObject" Target="embeddings/oleObject7.bin"/><Relationship Id="rId23" Type="http://schemas.openxmlformats.org/officeDocument/2006/relationships/image" Target="media/image6.emf"/><Relationship Id="rId22" Type="http://schemas.openxmlformats.org/officeDocument/2006/relationships/oleObject" Target="embeddings/oleObject6.bin"/><Relationship Id="rId21" Type="http://schemas.openxmlformats.org/officeDocument/2006/relationships/image" Target="media/image5.e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2370</Words>
  <Characters>2984</Characters>
  <Lines>0</Lines>
  <Paragraphs>0</Paragraphs>
  <TotalTime>0</TotalTime>
  <ScaleCrop>false</ScaleCrop>
  <LinksUpToDate>false</LinksUpToDate>
  <CharactersWithSpaces>3301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软件设计组</dc:creator>
  <cp:keywords>ER02, 软件架构, 二代计量仪</cp:keywords>
  <cp:lastModifiedBy>段学斌</cp:lastModifiedBy>
  <cp:lastPrinted>2022-01-14T19:23:00Z</cp:lastPrinted>
  <dcterms:modified xsi:type="dcterms:W3CDTF">2026-08-25T03:28:24Z</dcterms:modified>
  <dc:subject>ER02 V0.3</dc:subject>
  <dc:title>二代储罐在线自动计量仪软件架构规格书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5632411970DF41319C183B7CAA12F48E_13</vt:lpwstr>
  </property>
  <property fmtid="{D5CDD505-2E9C-101B-9397-08002B2CF9AE}" pid="4" name="KSOTemplateDocerSaveRecord">
    <vt:lpwstr>eyJoZGlkIjoiMDVkYThhNzYyODYyMjdhNTRmYmUyZjBlOThlODQwMDkiLCJ1c2VySWQiOiIxMjA0MTQyODE0In0=</vt:lpwstr>
  </property>
</Properties>
</file>