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F600BD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F600BD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F600BD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F600BD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F600BD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F600BD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F600BD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F600BD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F600BD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F600BD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F600BD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F600BD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F600BD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F600BD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17B9761C" w:rsidR="007D4C49" w:rsidRDefault="00713B32">
      <w:pPr>
        <w:pStyle w:val="13"/>
      </w:pPr>
      <w:r>
        <w:t xml:space="preserve">        &lt;key2&gt;value2&lt;/key2&gt; 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</w:t>
      </w:r>
      <w:r>
        <w:t>&lt;</w:t>
      </w:r>
      <w:r>
        <w:rPr>
          <w:rFonts w:hint="eastAsia"/>
        </w:rPr>
        <w:t>b</w:t>
      </w:r>
      <w:r>
        <w:t>oxL</w:t>
      </w:r>
      <w:r>
        <w:t>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</w:t>
      </w:r>
      <w:r>
        <w:t xml:space="preserve">  </w:t>
      </w:r>
      <w:r>
        <w:t>&lt;</w:t>
      </w:r>
      <w:r>
        <w:t>boxW</w:t>
      </w:r>
      <w:r>
        <w:t>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</w:t>
      </w:r>
      <w:r>
        <w:t xml:space="preserve">  </w:t>
      </w:r>
      <w:r>
        <w:t>&lt;</w:t>
      </w:r>
      <w:r>
        <w:t>boxH</w:t>
      </w:r>
      <w:r>
        <w:t>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</w:t>
      </w:r>
      <w:r>
        <w:t xml:space="preserve">  </w:t>
      </w:r>
      <w:r>
        <w:t>&lt;</w:t>
      </w:r>
      <w:r>
        <w:t>boxV</w:t>
      </w:r>
      <w:r>
        <w:t>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lastRenderedPageBreak/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lastRenderedPageBreak/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lastRenderedPageBreak/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</w:t>
      </w:r>
      <w:bookmarkStart w:id="22" w:name="_GoBack"/>
      <w:bookmarkEnd w:id="22"/>
      <w:r>
        <w:t>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3" w:name="_Toc501638802"/>
      <w:r>
        <w:t>出参规范</w:t>
      </w:r>
      <w:bookmarkEnd w:id="23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4" w:name="_Toc290217644"/>
      <w:bookmarkStart w:id="25" w:name="_Toc501638803"/>
      <w:r>
        <w:rPr>
          <w:rFonts w:hint="eastAsia"/>
        </w:rPr>
        <w:t>入库单创建接口</w:t>
      </w:r>
      <w:bookmarkEnd w:id="2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5"/>
    </w:p>
    <w:p w14:paraId="59A42E5E" w14:textId="77777777" w:rsidR="007D4C49" w:rsidRDefault="00713B32">
      <w:pPr>
        <w:pStyle w:val="3"/>
      </w:pPr>
      <w:bookmarkStart w:id="26" w:name="_Toc290217645"/>
      <w:bookmarkStart w:id="27" w:name="_Toc501638804"/>
      <w:r>
        <w:t>接口介绍</w:t>
      </w:r>
      <w:bookmarkEnd w:id="26"/>
      <w:bookmarkEnd w:id="27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8" w:name="_Toc290217646"/>
      <w:bookmarkStart w:id="29" w:name="_Toc501638805"/>
      <w:r>
        <w:t>入参规范</w:t>
      </w:r>
      <w:bookmarkEnd w:id="28"/>
      <w:bookmarkEnd w:id="29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</w:t>
      </w:r>
      <w:r>
        <w:lastRenderedPageBreak/>
        <w:t>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lastRenderedPageBreak/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30" w:name="_Toc290217647"/>
      <w:bookmarkStart w:id="31" w:name="_Toc501638806"/>
      <w:r>
        <w:lastRenderedPageBreak/>
        <w:t>出参规范</w:t>
      </w:r>
      <w:bookmarkEnd w:id="30"/>
      <w:bookmarkEnd w:id="31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2" w:name="_Toc501638807"/>
      <w:r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2"/>
    </w:p>
    <w:p w14:paraId="100D26FF" w14:textId="77777777" w:rsidR="007D4C49" w:rsidRDefault="00713B32">
      <w:pPr>
        <w:pStyle w:val="3"/>
      </w:pPr>
      <w:bookmarkStart w:id="33" w:name="_Toc501638808"/>
      <w:r>
        <w:t>接口介绍</w:t>
      </w:r>
      <w:bookmarkEnd w:id="33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4" w:name="_Toc501638809"/>
      <w:r>
        <w:t>入参规范</w:t>
      </w:r>
      <w:bookmarkEnd w:id="34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lastRenderedPageBreak/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5" w:name="_Toc501638810"/>
      <w:r>
        <w:t>出参规范</w:t>
      </w:r>
      <w:bookmarkEnd w:id="35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6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6"/>
    </w:p>
    <w:p w14:paraId="2E97FB93" w14:textId="77777777" w:rsidR="007D4C49" w:rsidRDefault="00713B32">
      <w:pPr>
        <w:pStyle w:val="3"/>
      </w:pPr>
      <w:bookmarkStart w:id="37" w:name="_Toc501638812"/>
      <w:r>
        <w:t>接口介绍</w:t>
      </w:r>
      <w:bookmarkEnd w:id="37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8" w:name="_Toc501638813"/>
      <w:r>
        <w:lastRenderedPageBreak/>
        <w:t>入参规范</w:t>
      </w:r>
      <w:bookmarkEnd w:id="38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lastRenderedPageBreak/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9" w:name="_Toc501638814"/>
      <w:r>
        <w:t>出参规范</w:t>
      </w:r>
      <w:bookmarkEnd w:id="39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lastRenderedPageBreak/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40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40"/>
    </w:p>
    <w:p w14:paraId="23ECDA38" w14:textId="77777777" w:rsidR="007D4C49" w:rsidRDefault="00713B32">
      <w:pPr>
        <w:pStyle w:val="3"/>
      </w:pPr>
      <w:bookmarkStart w:id="41" w:name="_Toc501638816"/>
      <w:r>
        <w:rPr>
          <w:rFonts w:hint="eastAsia"/>
        </w:rPr>
        <w:t>接口介绍</w:t>
      </w:r>
      <w:bookmarkEnd w:id="41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2" w:name="_Toc501638817"/>
      <w:r>
        <w:rPr>
          <w:rFonts w:hint="eastAsia"/>
        </w:rPr>
        <w:t>入参规范</w:t>
      </w:r>
      <w:bookmarkEnd w:id="42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3" w:name="_Toc501638818"/>
      <w:r>
        <w:rPr>
          <w:rFonts w:hint="eastAsia"/>
        </w:rPr>
        <w:t>出参规范</w:t>
      </w:r>
      <w:bookmarkEnd w:id="43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4" w:name="_Toc290217656"/>
      <w:bookmarkStart w:id="45" w:name="_Toc501638819"/>
      <w:r>
        <w:rPr>
          <w:rFonts w:hint="eastAsia"/>
        </w:rPr>
        <w:t>发货单创建接口</w:t>
      </w:r>
      <w:bookmarkEnd w:id="4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5"/>
    </w:p>
    <w:p w14:paraId="20D4870B" w14:textId="77777777" w:rsidR="007D4C49" w:rsidRDefault="00713B32">
      <w:pPr>
        <w:pStyle w:val="3"/>
      </w:pPr>
      <w:bookmarkStart w:id="46" w:name="_Toc290217657"/>
      <w:bookmarkStart w:id="47" w:name="_Toc501638820"/>
      <w:r>
        <w:t>接口介绍</w:t>
      </w:r>
      <w:bookmarkEnd w:id="46"/>
      <w:bookmarkEnd w:id="47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8" w:name="_Toc290217658"/>
      <w:bookmarkStart w:id="49" w:name="_Toc501638821"/>
      <w:r>
        <w:t>入参规范</w:t>
      </w:r>
      <w:bookmarkEnd w:id="48"/>
      <w:bookmarkEnd w:id="49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lastRenderedPageBreak/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lastRenderedPageBreak/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50" w:name="_Toc290217659"/>
      <w:bookmarkStart w:id="51" w:name="_Toc501638822"/>
      <w:r>
        <w:t>出参规范</w:t>
      </w:r>
      <w:bookmarkEnd w:id="50"/>
      <w:bookmarkEnd w:id="51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lastRenderedPageBreak/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2" w:name="_Toc501638823"/>
      <w:r>
        <w:rPr>
          <w:rFonts w:hint="eastAsia"/>
        </w:rPr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2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3" w:name="_Toc501638824"/>
      <w:r>
        <w:rPr>
          <w:rFonts w:hint="eastAsia"/>
        </w:rPr>
        <w:t>接口介绍</w:t>
      </w:r>
      <w:bookmarkEnd w:id="53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4" w:name="_Toc501638825"/>
      <w:r>
        <w:rPr>
          <w:rFonts w:hint="eastAsia"/>
        </w:rPr>
        <w:t>入参规范</w:t>
      </w:r>
      <w:bookmarkEnd w:id="54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lastRenderedPageBreak/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lastRenderedPageBreak/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5" w:name="_Toc501638826"/>
      <w:r>
        <w:rPr>
          <w:rFonts w:hint="eastAsia"/>
        </w:rPr>
        <w:t>出参规范</w:t>
      </w:r>
      <w:bookmarkEnd w:id="55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6" w:name="_Toc306094719"/>
      <w:bookmarkStart w:id="57" w:name="_Toc501638827"/>
      <w:r>
        <w:rPr>
          <w:rFonts w:hint="eastAsia"/>
        </w:rPr>
        <w:t>出库单创建接口</w:t>
      </w:r>
      <w:bookmarkEnd w:id="56"/>
      <w:bookmarkEnd w:id="57"/>
    </w:p>
    <w:p w14:paraId="41F7ED6D" w14:textId="77777777" w:rsidR="007D4C49" w:rsidRDefault="00713B32">
      <w:pPr>
        <w:pStyle w:val="3"/>
      </w:pPr>
      <w:bookmarkStart w:id="58" w:name="_Toc306094720"/>
      <w:bookmarkStart w:id="59" w:name="_Toc501638828"/>
      <w:r>
        <w:rPr>
          <w:rFonts w:hint="eastAsia"/>
        </w:rPr>
        <w:t>接口介绍</w:t>
      </w:r>
      <w:bookmarkEnd w:id="58"/>
      <w:bookmarkEnd w:id="59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60" w:name="_Toc306094721"/>
      <w:bookmarkStart w:id="61" w:name="_Toc501638829"/>
      <w:r>
        <w:rPr>
          <w:rFonts w:hint="eastAsia"/>
        </w:rPr>
        <w:t>入参规范</w:t>
      </w:r>
      <w:bookmarkEnd w:id="60"/>
      <w:bookmarkEnd w:id="61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lastRenderedPageBreak/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lastRenderedPageBreak/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lastRenderedPageBreak/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</w:t>
      </w:r>
      <w:r>
        <w:lastRenderedPageBreak/>
        <w:t>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lastRenderedPageBreak/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lastRenderedPageBreak/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lastRenderedPageBreak/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lastRenderedPageBreak/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lastRenderedPageBreak/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lastRenderedPageBreak/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lastRenderedPageBreak/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lastRenderedPageBreak/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lastRenderedPageBreak/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lastRenderedPageBreak/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lastRenderedPageBreak/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lastRenderedPageBreak/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lastRenderedPageBreak/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lastRenderedPageBreak/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lastRenderedPageBreak/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lastRenderedPageBreak/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lastRenderedPageBreak/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lastRenderedPageBreak/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 w:rsidP="00C677EB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8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lastRenderedPageBreak/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9" w:name="_Toc501638890"/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40" w:name="_Toc501638891"/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 w:rsidP="00ED123C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4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lastRenderedPageBreak/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lastRenderedPageBreak/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lastRenderedPageBreak/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lastRenderedPageBreak/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3A57A" w14:textId="77777777" w:rsidR="00F600BD" w:rsidRDefault="00F600BD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1FECF148" w14:textId="77777777" w:rsidR="00F600BD" w:rsidRDefault="00F600BD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F94D51" w:rsidRDefault="00F94D51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F94D51" w:rsidRDefault="00F94D51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F94D51" w:rsidRDefault="00F94D51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F94D51" w:rsidRDefault="00F94D51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332EE" w14:textId="77777777" w:rsidR="00F600BD" w:rsidRDefault="00F600BD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18CBE42" w14:textId="77777777" w:rsidR="00F600BD" w:rsidRDefault="00F600BD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F94D51" w:rsidRDefault="00F94D51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F94D51" w:rsidRDefault="00F94D51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F94D51" w:rsidRDefault="00F94D51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4D04EC-89F1-9D4D-BEF9-898BFFFF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67</Pages>
  <Words>11318</Words>
  <Characters>64517</Characters>
  <Application>Microsoft Office Word</Application>
  <DocSecurity>0</DocSecurity>
  <Lines>537</Lines>
  <Paragraphs>151</Paragraphs>
  <ScaleCrop>false</ScaleCrop>
  <Company>ALIBABA</Company>
  <LinksUpToDate>false</LinksUpToDate>
  <CharactersWithSpaces>75684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59</cp:revision>
  <cp:lastPrinted>2015-05-06T05:28:00Z</cp:lastPrinted>
  <dcterms:created xsi:type="dcterms:W3CDTF">2017-12-21T08:53:00Z</dcterms:created>
  <dcterms:modified xsi:type="dcterms:W3CDTF">2018-04-26T07:14:00Z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