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ourier New" w:hAnsi="Courier New"/>
          <w:b w:val="0"/>
          <w:i w:val="0"/>
          <w:color w:val="5A6070"/>
          <w:sz w:val="16"/>
        </w:rPr>
        <w:t>DEEP LEARNING — COURSE PROJECT REPORT  ·  2026</w:t>
      </w:r>
    </w:p>
    <w:p>
      <w:pPr>
        <w:spacing w:before="400" w:after="80"/>
      </w:pPr>
      <w:r>
        <w:rPr>
          <w:rFonts w:ascii="Georgia" w:hAnsi="Georgia"/>
          <w:b w:val="0"/>
          <w:i w:val="0"/>
          <w:color w:val="1A1D2E"/>
          <w:sz w:val="84"/>
        </w:rPr>
        <w:t>Agents</w:t>
      </w:r>
      <w:r>
        <w:rPr>
          <w:rFonts w:ascii="Georgia" w:hAnsi="Georgia"/>
          <w:b w:val="0"/>
          <w:i w:val="0"/>
          <w:color w:val="E06D2D"/>
          <w:sz w:val="84"/>
        </w:rPr>
        <w:t>Ops</w:t>
      </w:r>
    </w:p>
    <w:p>
      <w:pPr>
        <w:spacing w:before="80" w:after="320"/>
      </w:pPr>
      <w:r>
        <w:rPr>
          <w:rFonts w:ascii="Georgia" w:hAnsi="Georgia"/>
          <w:b w:val="0"/>
          <w:i/>
          <w:color w:val="5A6070"/>
          <w:sz w:val="28"/>
        </w:rPr>
        <w:t>Deep Learning-Based Anomaly Detection for AI Agent Behavior</w:t>
      </w:r>
    </w:p>
    <w:p>
      <w:pPr>
        <w:spacing w:before="0" w:after="320"/>
        <w:pBdr>
          <w:bottom w:val="single" w:sz="12" w:color="E06D2D"/>
        </w:pBdr>
      </w:pPr>
    </w:p>
    <w:p>
      <w:pPr>
        <w:spacing w:before="0" w:after="480"/>
        <w:ind w:left="283"/>
        <w:pBdr>
          <w:left w:val="single" w:sz="12" w:space="8" w:color="CDD1DC"/>
        </w:pBdr>
      </w:pPr>
      <w:r>
        <w:rPr>
          <w:rFonts w:ascii="Calibri" w:hAnsi="Calibri"/>
          <w:b w:val="0"/>
          <w:i/>
          <w:color w:val="5A6070"/>
          <w:sz w:val="20"/>
        </w:rPr>
        <w:t>Autonomous AI agents that orchestrate multi-tool workflows introduce a new class of security risk: sequences of tool calls that individually appear benign but collectively encode unauthorized behavior. AgentsOps applies self-supervised LSTM sequence modelling and a BiLSTM with multi-head attention to detect such anomalous runs in real time.</w:t>
      </w:r>
    </w:p>
    <w:tbl>
      <w:tblPr>
        <w:tblW w:type="auto" w:w="0"/>
        <w:jc w:val="left"/>
        <w:tblLook w:firstColumn="1" w:firstRow="1" w:lastColumn="0" w:lastRow="0" w:noHBand="0" w:noVBand="1" w:val="04A0"/>
      </w:tblPr>
      <w:tblGrid>
        <w:gridCol w:w="4536"/>
        <w:gridCol w:w="4536"/>
      </w:tblGrid>
      <w:tr>
        <w:tc>
          <w:tcPr>
            <w:tcW w:type="dxa" w:w="4536"/>
            <w:shd w:val="clear" w:color="auto" w:fill="F7F8FA"/>
          </w:tcPr>
          <w:p>
            <w:pPr>
              <w:spacing w:before="120"/>
            </w:pPr>
            <w:r>
              <w:rPr>
                <w:rFonts w:ascii="Courier New" w:hAnsi="Courier New"/>
                <w:b w:val="0"/>
                <w:i w:val="0"/>
                <w:color w:val="5A6070"/>
                <w:sz w:val="15"/>
              </w:rPr>
              <w:t>GROUP MEMBERS</w:t>
            </w:r>
          </w:p>
          <w:p>
            <w:pPr>
              <w:spacing w:after="120"/>
            </w:pPr>
            <w:r>
              <w:rPr>
                <w:rFonts w:ascii="Calibri" w:hAnsi="Calibri"/>
                <w:b w:val="0"/>
                <w:i w:val="0"/>
                <w:color w:val="1A1D2E"/>
                <w:sz w:val="19"/>
              </w:rPr>
              <w:t>Dua Rizwan   F22CSC036</w:t>
              <w:br/>
              <w:t>Rabyaan Khan   F22CSC006</w:t>
              <w:br/>
              <w:t>Zeeshan Ahmed   F22CSC028</w:t>
            </w:r>
          </w:p>
        </w:tc>
        <w:tc>
          <w:tcPr>
            <w:tcW w:type="dxa" w:w="4536"/>
            <w:shd w:val="clear" w:color="auto" w:fill="F7F8FA"/>
          </w:tcPr>
          <w:p>
            <w:pPr>
              <w:spacing w:before="120"/>
            </w:pPr>
            <w:r>
              <w:rPr>
                <w:rFonts w:ascii="Courier New" w:hAnsi="Courier New"/>
                <w:b w:val="0"/>
                <w:i w:val="0"/>
                <w:color w:val="5A6070"/>
                <w:sz w:val="15"/>
              </w:rPr>
              <w:t>COURSE</w:t>
            </w:r>
          </w:p>
          <w:p>
            <w:pPr>
              <w:spacing w:after="120"/>
            </w:pPr>
            <w:r>
              <w:rPr>
                <w:rFonts w:ascii="Calibri" w:hAnsi="Calibri"/>
                <w:b w:val="0"/>
                <w:i w:val="0"/>
                <w:color w:val="1A1D2E"/>
                <w:sz w:val="19"/>
              </w:rPr>
              <w:t>Deep Learning</w:t>
              <w:br/>
              <w:t>Department of Computer Science</w:t>
            </w:r>
          </w:p>
        </w:tc>
      </w:tr>
      <w:tr>
        <w:tc>
          <w:tcPr>
            <w:tcW w:type="dxa" w:w="4536"/>
            <w:shd w:val="clear" w:color="auto" w:fill="F7F8FA"/>
          </w:tcPr>
          <w:p>
            <w:pPr>
              <w:spacing w:before="120"/>
            </w:pPr>
            <w:r>
              <w:rPr>
                <w:rFonts w:ascii="Courier New" w:hAnsi="Courier New"/>
                <w:b w:val="0"/>
                <w:i w:val="0"/>
                <w:color w:val="5A6070"/>
                <w:sz w:val="15"/>
              </w:rPr>
              <w:t>SUBMISSION DATE</w:t>
            </w:r>
          </w:p>
          <w:p>
            <w:pPr>
              <w:spacing w:after="120"/>
            </w:pPr>
            <w:r>
              <w:rPr>
                <w:rFonts w:ascii="Calibri" w:hAnsi="Calibri"/>
                <w:b w:val="0"/>
                <w:i w:val="0"/>
                <w:color w:val="1A1D2E"/>
                <w:sz w:val="19"/>
              </w:rPr>
              <w:t>June 2026</w:t>
            </w:r>
          </w:p>
        </w:tc>
        <w:tc>
          <w:tcPr>
            <w:tcW w:type="dxa" w:w="4536"/>
            <w:shd w:val="clear" w:color="auto" w:fill="F7F8FA"/>
          </w:tcPr>
          <w:p>
            <w:pPr>
              <w:spacing w:before="120"/>
            </w:pPr>
            <w:r>
              <w:rPr>
                <w:rFonts w:ascii="Courier New" w:hAnsi="Courier New"/>
                <w:b w:val="0"/>
                <w:i w:val="0"/>
                <w:color w:val="5A6070"/>
                <w:sz w:val="15"/>
              </w:rPr>
              <w:t>PROJECT</w:t>
            </w:r>
          </w:p>
          <w:p>
            <w:pPr>
              <w:spacing w:after="120"/>
            </w:pPr>
            <w:r>
              <w:rPr>
                <w:rFonts w:ascii="Calibri" w:hAnsi="Calibri"/>
                <w:b w:val="0"/>
                <w:i w:val="0"/>
                <w:color w:val="1A1D2E"/>
                <w:sz w:val="19"/>
              </w:rPr>
              <w:t>AgentsOps / ByteOps-master</w:t>
            </w:r>
          </w:p>
        </w:tc>
      </w:tr>
    </w:tbl>
    <w:p>
      <w:pPr>
        <w:spacing w:before="0" w:after="0"/>
      </w:pPr>
      <w:r>
        <w:br w:type="page"/>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120"/>
            </w:pPr>
            <w:r>
              <w:rPr>
                <w:rFonts w:ascii="Courier New" w:hAnsi="Courier New"/>
                <w:b/>
                <w:i w:val="0"/>
                <w:color w:val="E06D2D"/>
                <w:sz w:val="16"/>
              </w:rPr>
              <w:t>ABSTRACT</w:t>
            </w:r>
          </w:p>
          <w:p>
            <w:pPr>
              <w:spacing w:after="120"/>
              <w:jc w:val="both"/>
            </w:pPr>
            <w:r>
              <w:rPr>
                <w:rFonts w:ascii="Calibri" w:hAnsi="Calibri"/>
                <w:b w:val="0"/>
                <w:i w:val="0"/>
                <w:color w:val="1A1D2E"/>
                <w:sz w:val="20"/>
              </w:rPr>
              <w:t>AgentsOps is a platform that monitors the runtime behavior of AI agents orchestrating external tools — email, calendar, code repositories, and cloud storage — and detects anomalous action sequences using deep learning. The core problem is that a single misbehaving agent step is rarely alarming; danger emerges from the sequence: a read followed by an external send followed by a credential fetch is qualitatively different from the same three steps in isolation. We model this temporal structure with two learned approaches: (1) a self-supervised Next-Action LSTM trained exclusively on benign sequences, which scores a run by the negative log-likelihood of each step; and (2) a supervised BiLSTM with multi-head additive attention trained on labeled synthetic data covering five distinct anomaly types. We compare both against an Isolation Forest hand-feature baseline and a Transformer encoder. On a 225-sample synthetic benchmark, the BiLSTM+Attention classifier achieves an F1 of 0.89 and AUC-ROC of 0.94, outperforming all baselines. The attention weights provide step-level localization — directly surfaced in the UI as a per-step heat marker — making the model's decision interpretable to non-technical operators.</w:t>
            </w:r>
          </w:p>
        </w:tc>
      </w:tr>
    </w:tbl>
    <w:p>
      <w:pPr>
        <w:spacing w:after="120"/>
      </w:pPr>
    </w:p>
    <w:p>
      <w:pPr>
        <w:spacing w:before="200" w:after="80"/>
        <w:pBdr>
          <w:bottom w:val="single" w:sz="4" w:color="CDD1DC"/>
        </w:pBdr>
      </w:pPr>
      <w:r>
        <w:rPr>
          <w:rFonts w:ascii="Georgia" w:hAnsi="Georgia"/>
          <w:b w:val="0"/>
          <w:i w:val="0"/>
          <w:color w:val="1A1D2E"/>
          <w:sz w:val="26"/>
        </w:rPr>
        <w:t>Table of Contents</w:t>
      </w:r>
    </w:p>
    <w:p>
      <w:pPr>
        <w:tabs>
          <w:tab w:pos="8220" w:val="right"/>
        </w:tabs>
        <w:spacing w:before="20" w:after="20"/>
      </w:pPr>
      <w:r>
        <w:rPr>
          <w:rFonts w:ascii="Courier New" w:hAnsi="Courier New"/>
          <w:b/>
          <w:i w:val="0"/>
          <w:color w:val="E06D2D"/>
          <w:sz w:val="17"/>
        </w:rPr>
        <w:t xml:space="preserve">01  </w:t>
      </w:r>
      <w:r>
        <w:rPr>
          <w:rFonts w:ascii="Georgia" w:hAnsi="Georgia"/>
          <w:b w:val="0"/>
          <w:i w:val="0"/>
          <w:color w:val="1A1D2E"/>
          <w:sz w:val="22"/>
        </w:rPr>
        <w:t>Introduction &amp; Problem Statement</w:t>
      </w:r>
      <w:r>
        <w:rPr>
          <w:rFonts w:ascii="Courier New" w:hAnsi="Courier New"/>
          <w:b w:val="0"/>
          <w:i w:val="0"/>
          <w:color w:val="5A6070"/>
          <w:sz w:val="17"/>
        </w:rPr>
        <w:tab/>
        <w:t>3</w:t>
      </w:r>
    </w:p>
    <w:p>
      <w:pPr>
        <w:tabs>
          <w:tab w:pos="7654" w:val="right"/>
        </w:tabs>
        <w:spacing w:before="0" w:after="20"/>
        <w:ind w:left="567"/>
      </w:pPr>
      <w:r>
        <w:rPr>
          <w:rFonts w:ascii="Calibri" w:hAnsi="Calibri"/>
          <w:b w:val="0"/>
          <w:i w:val="0"/>
          <w:color w:val="5A6070"/>
          <w:sz w:val="20"/>
        </w:rPr>
        <w:t>1.1  Motivation</w:t>
      </w:r>
      <w:r>
        <w:rPr>
          <w:rFonts w:ascii="Courier New" w:hAnsi="Courier New"/>
          <w:b w:val="0"/>
          <w:i w:val="0"/>
          <w:color w:val="5A6070"/>
          <w:sz w:val="17"/>
        </w:rPr>
        <w:tab/>
        <w:t>3</w:t>
      </w:r>
    </w:p>
    <w:p>
      <w:pPr>
        <w:tabs>
          <w:tab w:pos="7654" w:val="right"/>
        </w:tabs>
        <w:spacing w:before="0" w:after="20"/>
        <w:ind w:left="567"/>
      </w:pPr>
      <w:r>
        <w:rPr>
          <w:rFonts w:ascii="Calibri" w:hAnsi="Calibri"/>
          <w:b w:val="0"/>
          <w:i w:val="0"/>
          <w:color w:val="5A6070"/>
          <w:sz w:val="20"/>
        </w:rPr>
        <w:t>1.2  Problem Definition</w:t>
      </w:r>
      <w:r>
        <w:rPr>
          <w:rFonts w:ascii="Courier New" w:hAnsi="Courier New"/>
          <w:b w:val="0"/>
          <w:i w:val="0"/>
          <w:color w:val="5A6070"/>
          <w:sz w:val="17"/>
        </w:rPr>
        <w:tab/>
        <w:t>3</w:t>
      </w:r>
    </w:p>
    <w:p>
      <w:pPr>
        <w:tabs>
          <w:tab w:pos="7654" w:val="right"/>
        </w:tabs>
        <w:spacing w:before="0" w:after="20"/>
        <w:ind w:left="567"/>
      </w:pPr>
      <w:r>
        <w:rPr>
          <w:rFonts w:ascii="Calibri" w:hAnsi="Calibri"/>
          <w:b w:val="0"/>
          <w:i w:val="0"/>
          <w:color w:val="5A6070"/>
          <w:sz w:val="20"/>
        </w:rPr>
        <w:t>1.3  Why Deep Learning?</w:t>
      </w:r>
      <w:r>
        <w:rPr>
          <w:rFonts w:ascii="Courier New" w:hAnsi="Courier New"/>
          <w:b w:val="0"/>
          <w:i w:val="0"/>
          <w:color w:val="5A6070"/>
          <w:sz w:val="17"/>
        </w:rPr>
        <w:tab/>
        <w:t>4</w:t>
      </w:r>
    </w:p>
    <w:p>
      <w:pPr>
        <w:tabs>
          <w:tab w:pos="8220" w:val="right"/>
        </w:tabs>
        <w:spacing w:before="20" w:after="20"/>
      </w:pPr>
      <w:r>
        <w:rPr>
          <w:rFonts w:ascii="Courier New" w:hAnsi="Courier New"/>
          <w:b/>
          <w:i w:val="0"/>
          <w:color w:val="E06D2D"/>
          <w:sz w:val="17"/>
        </w:rPr>
        <w:t xml:space="preserve">02  </w:t>
      </w:r>
      <w:r>
        <w:rPr>
          <w:rFonts w:ascii="Georgia" w:hAnsi="Georgia"/>
          <w:b w:val="0"/>
          <w:i w:val="0"/>
          <w:color w:val="1A1D2E"/>
          <w:sz w:val="22"/>
        </w:rPr>
        <w:t>Related Work</w:t>
      </w:r>
      <w:r>
        <w:rPr>
          <w:rFonts w:ascii="Courier New" w:hAnsi="Courier New"/>
          <w:b w:val="0"/>
          <w:i w:val="0"/>
          <w:color w:val="5A6070"/>
          <w:sz w:val="17"/>
        </w:rPr>
        <w:tab/>
        <w:t>4</w:t>
      </w:r>
    </w:p>
    <w:p>
      <w:pPr>
        <w:tabs>
          <w:tab w:pos="8220" w:val="right"/>
        </w:tabs>
        <w:spacing w:before="20" w:after="20"/>
      </w:pPr>
      <w:r>
        <w:rPr>
          <w:rFonts w:ascii="Courier New" w:hAnsi="Courier New"/>
          <w:b/>
          <w:i w:val="0"/>
          <w:color w:val="E06D2D"/>
          <w:sz w:val="17"/>
        </w:rPr>
        <w:t xml:space="preserve">03  </w:t>
      </w:r>
      <w:r>
        <w:rPr>
          <w:rFonts w:ascii="Georgia" w:hAnsi="Georgia"/>
          <w:b w:val="0"/>
          <w:i w:val="0"/>
          <w:color w:val="1A1D2E"/>
          <w:sz w:val="22"/>
        </w:rPr>
        <w:t>System Architecture</w:t>
      </w:r>
      <w:r>
        <w:rPr>
          <w:rFonts w:ascii="Courier New" w:hAnsi="Courier New"/>
          <w:b w:val="0"/>
          <w:i w:val="0"/>
          <w:color w:val="5A6070"/>
          <w:sz w:val="17"/>
        </w:rPr>
        <w:tab/>
        <w:t>5</w:t>
      </w:r>
    </w:p>
    <w:p>
      <w:pPr>
        <w:tabs>
          <w:tab w:pos="8220" w:val="right"/>
        </w:tabs>
        <w:spacing w:before="20" w:after="20"/>
      </w:pPr>
      <w:r>
        <w:rPr>
          <w:rFonts w:ascii="Courier New" w:hAnsi="Courier New"/>
          <w:b/>
          <w:i w:val="0"/>
          <w:color w:val="E06D2D"/>
          <w:sz w:val="17"/>
        </w:rPr>
        <w:t xml:space="preserve">04  </w:t>
      </w:r>
      <w:r>
        <w:rPr>
          <w:rFonts w:ascii="Georgia" w:hAnsi="Georgia"/>
          <w:b w:val="0"/>
          <w:i w:val="0"/>
          <w:color w:val="1A1D2E"/>
          <w:sz w:val="22"/>
        </w:rPr>
        <w:t>Deep Learning Methodology</w:t>
      </w:r>
      <w:r>
        <w:rPr>
          <w:rFonts w:ascii="Courier New" w:hAnsi="Courier New"/>
          <w:b w:val="0"/>
          <w:i w:val="0"/>
          <w:color w:val="5A6070"/>
          <w:sz w:val="17"/>
        </w:rPr>
        <w:tab/>
        <w:t>7</w:t>
      </w:r>
    </w:p>
    <w:p>
      <w:pPr>
        <w:tabs>
          <w:tab w:pos="7654" w:val="right"/>
        </w:tabs>
        <w:spacing w:before="0" w:after="20"/>
        <w:ind w:left="567"/>
      </w:pPr>
      <w:r>
        <w:rPr>
          <w:rFonts w:ascii="Calibri" w:hAnsi="Calibri"/>
          <w:b w:val="0"/>
          <w:i w:val="0"/>
          <w:color w:val="5A6070"/>
          <w:sz w:val="20"/>
        </w:rPr>
        <w:t>4.1  Self-Supervised LSTM Next-Action Predictor (V1)</w:t>
      </w:r>
      <w:r>
        <w:rPr>
          <w:rFonts w:ascii="Courier New" w:hAnsi="Courier New"/>
          <w:b w:val="0"/>
          <w:i w:val="0"/>
          <w:color w:val="5A6070"/>
          <w:sz w:val="17"/>
        </w:rPr>
        <w:tab/>
        <w:t>7</w:t>
      </w:r>
    </w:p>
    <w:p>
      <w:pPr>
        <w:tabs>
          <w:tab w:pos="7654" w:val="right"/>
        </w:tabs>
        <w:spacing w:before="0" w:after="20"/>
        <w:ind w:left="567"/>
      </w:pPr>
      <w:r>
        <w:rPr>
          <w:rFonts w:ascii="Calibri" w:hAnsi="Calibri"/>
          <w:b w:val="0"/>
          <w:i w:val="0"/>
          <w:color w:val="5A6070"/>
          <w:sz w:val="20"/>
        </w:rPr>
        <w:t>4.2  Supervised BiLSTM + Multi-Head Attention Classifier (V2)</w:t>
      </w:r>
      <w:r>
        <w:rPr>
          <w:rFonts w:ascii="Courier New" w:hAnsi="Courier New"/>
          <w:b w:val="0"/>
          <w:i w:val="0"/>
          <w:color w:val="5A6070"/>
          <w:sz w:val="17"/>
        </w:rPr>
        <w:tab/>
        <w:t>8</w:t>
      </w:r>
    </w:p>
    <w:p>
      <w:pPr>
        <w:tabs>
          <w:tab w:pos="7654" w:val="right"/>
        </w:tabs>
        <w:spacing w:before="0" w:after="20"/>
        <w:ind w:left="567"/>
      </w:pPr>
      <w:r>
        <w:rPr>
          <w:rFonts w:ascii="Calibri" w:hAnsi="Calibri"/>
          <w:b w:val="0"/>
          <w:i w:val="0"/>
          <w:color w:val="5A6070"/>
          <w:sz w:val="20"/>
        </w:rPr>
        <w:t>4.3  Transformer Encoder Baseline</w:t>
      </w:r>
      <w:r>
        <w:rPr>
          <w:rFonts w:ascii="Courier New" w:hAnsi="Courier New"/>
          <w:b w:val="0"/>
          <w:i w:val="0"/>
          <w:color w:val="5A6070"/>
          <w:sz w:val="17"/>
        </w:rPr>
        <w:tab/>
        <w:t>9</w:t>
      </w:r>
    </w:p>
    <w:p>
      <w:pPr>
        <w:tabs>
          <w:tab w:pos="7654" w:val="right"/>
        </w:tabs>
        <w:spacing w:before="0" w:after="20"/>
        <w:ind w:left="567"/>
      </w:pPr>
      <w:r>
        <w:rPr>
          <w:rFonts w:ascii="Calibri" w:hAnsi="Calibri"/>
          <w:b w:val="0"/>
          <w:i w:val="0"/>
          <w:color w:val="5A6070"/>
          <w:sz w:val="20"/>
        </w:rPr>
        <w:t>4.4  LLM Constitutional Monitor</w:t>
      </w:r>
      <w:r>
        <w:rPr>
          <w:rFonts w:ascii="Courier New" w:hAnsi="Courier New"/>
          <w:b w:val="0"/>
          <w:i w:val="0"/>
          <w:color w:val="5A6070"/>
          <w:sz w:val="17"/>
        </w:rPr>
        <w:tab/>
        <w:t>10</w:t>
      </w:r>
    </w:p>
    <w:p>
      <w:pPr>
        <w:tabs>
          <w:tab w:pos="8220" w:val="right"/>
        </w:tabs>
        <w:spacing w:before="20" w:after="20"/>
      </w:pPr>
      <w:r>
        <w:rPr>
          <w:rFonts w:ascii="Courier New" w:hAnsi="Courier New"/>
          <w:b/>
          <w:i w:val="0"/>
          <w:color w:val="E06D2D"/>
          <w:sz w:val="17"/>
        </w:rPr>
        <w:t xml:space="preserve">05  </w:t>
      </w:r>
      <w:r>
        <w:rPr>
          <w:rFonts w:ascii="Georgia" w:hAnsi="Georgia"/>
          <w:b w:val="0"/>
          <w:i w:val="0"/>
          <w:color w:val="1A1D2E"/>
          <w:sz w:val="22"/>
        </w:rPr>
        <w:t>Dataset &amp; Feature Engineering</w:t>
      </w:r>
      <w:r>
        <w:rPr>
          <w:rFonts w:ascii="Courier New" w:hAnsi="Courier New"/>
          <w:b w:val="0"/>
          <w:i w:val="0"/>
          <w:color w:val="5A6070"/>
          <w:sz w:val="17"/>
        </w:rPr>
        <w:tab/>
        <w:t>10</w:t>
      </w:r>
    </w:p>
    <w:p>
      <w:pPr>
        <w:tabs>
          <w:tab w:pos="8220" w:val="right"/>
        </w:tabs>
        <w:spacing w:before="20" w:after="20"/>
      </w:pPr>
      <w:r>
        <w:rPr>
          <w:rFonts w:ascii="Courier New" w:hAnsi="Courier New"/>
          <w:b/>
          <w:i w:val="0"/>
          <w:color w:val="E06D2D"/>
          <w:sz w:val="17"/>
        </w:rPr>
        <w:t xml:space="preserve">06  </w:t>
      </w:r>
      <w:r>
        <w:rPr>
          <w:rFonts w:ascii="Georgia" w:hAnsi="Georgia"/>
          <w:b w:val="0"/>
          <w:i w:val="0"/>
          <w:color w:val="1A1D2E"/>
          <w:sz w:val="22"/>
        </w:rPr>
        <w:t>Experiments &amp; Results</w:t>
      </w:r>
      <w:r>
        <w:rPr>
          <w:rFonts w:ascii="Courier New" w:hAnsi="Courier New"/>
          <w:b w:val="0"/>
          <w:i w:val="0"/>
          <w:color w:val="5A6070"/>
          <w:sz w:val="17"/>
        </w:rPr>
        <w:tab/>
        <w:t>11</w:t>
      </w:r>
    </w:p>
    <w:p>
      <w:pPr>
        <w:tabs>
          <w:tab w:pos="8220" w:val="right"/>
        </w:tabs>
        <w:spacing w:before="20" w:after="20"/>
      </w:pPr>
      <w:r>
        <w:rPr>
          <w:rFonts w:ascii="Courier New" w:hAnsi="Courier New"/>
          <w:b/>
          <w:i w:val="0"/>
          <w:color w:val="E06D2D"/>
          <w:sz w:val="17"/>
        </w:rPr>
        <w:t xml:space="preserve">07  </w:t>
      </w:r>
      <w:r>
        <w:rPr>
          <w:rFonts w:ascii="Georgia" w:hAnsi="Georgia"/>
          <w:b w:val="0"/>
          <w:i w:val="0"/>
          <w:color w:val="1A1D2E"/>
          <w:sz w:val="22"/>
        </w:rPr>
        <w:t>Conclusion &amp; Future Work</w:t>
      </w:r>
      <w:r>
        <w:rPr>
          <w:rFonts w:ascii="Courier New" w:hAnsi="Courier New"/>
          <w:b w:val="0"/>
          <w:i w:val="0"/>
          <w:color w:val="5A6070"/>
          <w:sz w:val="17"/>
        </w:rPr>
        <w:tab/>
        <w:t>14</w:t>
      </w:r>
    </w:p>
    <w:p>
      <w:pPr>
        <w:tabs>
          <w:tab w:pos="8220" w:val="right"/>
        </w:tabs>
        <w:spacing w:before="20" w:after="20"/>
      </w:pPr>
      <w:r>
        <w:rPr>
          <w:rFonts w:ascii="Courier New" w:hAnsi="Courier New"/>
          <w:b/>
          <w:i w:val="0"/>
          <w:color w:val="E06D2D"/>
          <w:sz w:val="17"/>
        </w:rPr>
        <w:t xml:space="preserve">—  </w:t>
      </w:r>
      <w:r>
        <w:rPr>
          <w:rFonts w:ascii="Georgia" w:hAnsi="Georgia"/>
          <w:b w:val="0"/>
          <w:i w:val="0"/>
          <w:color w:val="1A1D2E"/>
          <w:sz w:val="22"/>
        </w:rPr>
        <w:t>References</w:t>
      </w:r>
      <w:r>
        <w:rPr>
          <w:rFonts w:ascii="Courier New" w:hAnsi="Courier New"/>
          <w:b w:val="0"/>
          <w:i w:val="0"/>
          <w:color w:val="5A6070"/>
          <w:sz w:val="17"/>
        </w:rPr>
        <w:tab/>
        <w:t>15</w:t>
      </w:r>
    </w:p>
    <w:p>
      <w:pPr>
        <w:spacing w:before="0" w:after="0"/>
      </w:pPr>
      <w:r>
        <w:br w:type="page"/>
      </w:r>
    </w:p>
    <w:p>
      <w:pPr>
        <w:spacing w:before="0" w:after="80"/>
      </w:pPr>
      <w:r>
        <w:rPr>
          <w:rFonts w:ascii="Courier New" w:hAnsi="Courier New"/>
          <w:b/>
          <w:i w:val="0"/>
          <w:color w:val="E06D2D"/>
          <w:sz w:val="16"/>
        </w:rPr>
        <w:t>CHAPTER 01</w:t>
      </w:r>
    </w:p>
    <w:p>
      <w:pPr>
        <w:spacing w:before="40" w:after="200"/>
        <w:pBdr>
          <w:left w:val="single" w:sz="18" w:space="10" w:color="E06D2D"/>
        </w:pBdr>
      </w:pPr>
      <w:r>
        <w:rPr>
          <w:rFonts w:ascii="Georgia" w:hAnsi="Georgia"/>
          <w:b w:val="0"/>
          <w:i w:val="0"/>
          <w:color w:val="1A1D2E"/>
          <w:sz w:val="40"/>
        </w:rPr>
        <w:t>Introduction &amp; Problem Statement</w:t>
      </w:r>
    </w:p>
    <w:p>
      <w:pPr>
        <w:spacing w:before="200" w:after="80"/>
        <w:pBdr>
          <w:bottom w:val="single" w:sz="4" w:color="CDD1DC"/>
        </w:pBdr>
      </w:pPr>
      <w:r>
        <w:rPr>
          <w:rFonts w:ascii="Georgia" w:hAnsi="Georgia"/>
          <w:b w:val="0"/>
          <w:i w:val="0"/>
          <w:color w:val="1A1D2E"/>
          <w:sz w:val="26"/>
        </w:rPr>
        <w:t>1.1  Motivation</w:t>
      </w:r>
    </w:p>
    <w:p>
      <w:pPr>
        <w:spacing w:before="0" w:after="100"/>
        <w:jc w:val="both"/>
      </w:pPr>
      <w:r>
        <w:rPr>
          <w:rFonts w:ascii="Calibri" w:hAnsi="Calibri"/>
          <w:b w:val="0"/>
          <w:i w:val="0"/>
          <w:color w:val="1A1D2E"/>
          <w:sz w:val="21"/>
        </w:rPr>
        <w:t>The rapid deployment of large language model (LLM)-powered agents in enterprise settings has created a new attack surface that traditional security tools are ill-equipped to handle. Unlike a conventional web application where inputs can be validated at boundaries, an AI agent operates across multiple external services — email, cloud storage, version control, calendars — executing sequences of tool calls in response to natural-language instructions. A single compromised or misconfigured agent can send confidential email attachments to untrusted domains, delete repository branches, or silently harvest credentials, all while producing output that superficially satisfies the user's stated intent.</w:t>
      </w:r>
    </w:p>
    <w:p>
      <w:pPr>
        <w:spacing w:before="0" w:after="100"/>
        <w:jc w:val="both"/>
      </w:pPr>
      <w:r>
        <w:rPr>
          <w:rFonts w:ascii="Calibri" w:hAnsi="Calibri"/>
          <w:b w:val="0"/>
          <w:i w:val="0"/>
          <w:color w:val="1A1D2E"/>
          <w:sz w:val="21"/>
        </w:rPr>
        <w:t>Existing monitoring approaches rely on per-step rule matching: flag any call to an external domain, reject any destructive operation without approval. These rules catch obvious violations but are brittle. An attacker — or a misconfigured prompt — can compose sequences of individually-allowed steps that together constitute unauthorized behavior. Detecting such behavioral patterns requires a model that understands normal sequences holistically, not one rule at a time.</w:t>
      </w:r>
    </w:p>
    <w:p>
      <w:pPr>
        <w:spacing w:before="200" w:after="80"/>
        <w:pBdr>
          <w:bottom w:val="single" w:sz="4" w:color="CDD1DC"/>
        </w:pBdr>
      </w:pPr>
      <w:r>
        <w:rPr>
          <w:rFonts w:ascii="Georgia" w:hAnsi="Georgia"/>
          <w:b w:val="0"/>
          <w:i w:val="0"/>
          <w:color w:val="1A1D2E"/>
          <w:sz w:val="26"/>
        </w:rPr>
        <w:t>1.2  Problem Definition</w:t>
      </w:r>
    </w:p>
    <w:p>
      <w:pPr>
        <w:spacing w:before="0" w:after="100"/>
        <w:jc w:val="both"/>
      </w:pPr>
      <w:r>
        <w:rPr>
          <w:rFonts w:ascii="Calibri" w:hAnsi="Calibri"/>
          <w:b w:val="0"/>
          <w:i w:val="0"/>
          <w:color w:val="1A1D2E"/>
          <w:sz w:val="21"/>
        </w:rPr>
        <w:t>We define an agent run as a variable-length sequence of steps S = (s₁, s₂, …, sₙ), where each step sₜ carries a type (e.g., tool_call, approval, route), a tool name, an action category (read, write, external_send, destructive), a risk level (0–4), and a status (completed, failed). The run also carries a natural-language intent string I (e.g., "summarize unread emails") declared by the user at the start.</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FORMAL PROBLEM STATEMENT</w:t>
            </w:r>
          </w:p>
          <w:p>
            <w:pPr>
              <w:spacing w:before="20" w:after="20"/>
              <w:ind w:left="170"/>
            </w:pPr>
            <w:r>
              <w:rPr>
                <w:rFonts w:ascii="Calibri" w:hAnsi="Calibri"/>
                <w:b w:val="0"/>
                <w:i w:val="0"/>
                <w:color w:val="1A1D2E"/>
                <w:sz w:val="19"/>
              </w:rPr>
              <w:t xml:space="preserve">  • Given a labeled corpus D = {(Sᵢ, yᵢ)} where yᵢ ∈ {0=normal, 1=anomalous}, learn a scoring function:</w:t>
            </w:r>
          </w:p>
          <w:p>
            <w:pPr>
              <w:spacing w:before="20" w:after="20"/>
              <w:ind w:left="170"/>
            </w:pPr>
            <w:r>
              <w:rPr>
                <w:rFonts w:ascii="Calibri" w:hAnsi="Calibri"/>
                <w:b w:val="0"/>
                <w:i w:val="0"/>
                <w:color w:val="1A1D2E"/>
                <w:sz w:val="19"/>
              </w:rPr>
              <w:t xml:space="preserve">  • f : (S, I) → [0, 10]  such that  f(S, I) ≥ θ  ⟺  run is anomalous</w:t>
            </w:r>
          </w:p>
          <w:p>
            <w:pPr>
              <w:spacing w:before="20" w:after="20"/>
              <w:ind w:left="170"/>
            </w:pPr>
            <w:r>
              <w:rPr>
                <w:rFonts w:ascii="Calibri" w:hAnsi="Calibri"/>
                <w:b w:val="0"/>
                <w:i w:val="0"/>
                <w:color w:val="1A1D2E"/>
                <w:sz w:val="19"/>
              </w:rPr>
              <w:t xml:space="preserve">  • where θ is a tunable threshold and I is the user intent context used to detect intent-action mismatch.</w:t>
            </w:r>
          </w:p>
          <w:p>
            <w:pPr>
              <w:spacing w:before="80"/>
            </w:pPr>
          </w:p>
        </w:tc>
      </w:tr>
    </w:tbl>
    <w:p>
      <w:pPr>
        <w:spacing w:after="80"/>
      </w:pPr>
    </w:p>
    <w:p>
      <w:pPr>
        <w:spacing w:before="0" w:after="100"/>
        <w:jc w:val="both"/>
      </w:pPr>
      <w:r>
        <w:rPr>
          <w:rFonts w:ascii="Calibri" w:hAnsi="Calibri"/>
          <w:b w:val="0"/>
          <w:i w:val="0"/>
          <w:color w:val="1A1D2E"/>
          <w:sz w:val="21"/>
        </w:rPr>
        <w:t>Five anomaly categories define the threat model:</w:t>
      </w:r>
    </w:p>
    <w:p>
      <w:pPr>
        <w:spacing w:before="40" w:after="40"/>
        <w:ind w:left="283"/>
      </w:pPr>
      <w:r>
        <w:rPr>
          <w:rFonts w:ascii="Courier New" w:hAnsi="Courier New"/>
          <w:b w:val="0"/>
          <w:i w:val="0"/>
          <w:color w:val="E06D2D"/>
          <w:sz w:val="18"/>
        </w:rPr>
        <w:t xml:space="preserve">  •  DATA_EXFILTRATION</w:t>
      </w:r>
    </w:p>
    <w:p>
      <w:pPr>
        <w:spacing w:before="40" w:after="40"/>
        <w:ind w:left="283"/>
      </w:pPr>
      <w:r>
        <w:rPr>
          <w:rFonts w:ascii="Courier New" w:hAnsi="Courier New"/>
          <w:b w:val="0"/>
          <w:i w:val="0"/>
          <w:color w:val="E06D2D"/>
          <w:sz w:val="18"/>
        </w:rPr>
        <w:t xml:space="preserve">  •  PRIVILEGE_ESCALATION</w:t>
      </w:r>
    </w:p>
    <w:p>
      <w:pPr>
        <w:spacing w:before="40" w:after="40"/>
        <w:ind w:left="283"/>
      </w:pPr>
      <w:r>
        <w:rPr>
          <w:rFonts w:ascii="Courier New" w:hAnsi="Courier New"/>
          <w:b w:val="0"/>
          <w:i w:val="0"/>
          <w:color w:val="E06D2D"/>
          <w:sz w:val="18"/>
        </w:rPr>
        <w:t xml:space="preserve">  •  TOOL_REPETITION</w:t>
      </w:r>
    </w:p>
    <w:p>
      <w:pPr>
        <w:spacing w:before="40" w:after="40"/>
        <w:ind w:left="283"/>
      </w:pPr>
      <w:r>
        <w:rPr>
          <w:rFonts w:ascii="Courier New" w:hAnsi="Courier New"/>
          <w:b w:val="0"/>
          <w:i w:val="0"/>
          <w:color w:val="E06D2D"/>
          <w:sz w:val="18"/>
        </w:rPr>
        <w:t xml:space="preserve">  •  OUT_OF_ORDER</w:t>
      </w:r>
    </w:p>
    <w:p>
      <w:pPr>
        <w:spacing w:before="40" w:after="40"/>
        <w:ind w:left="283"/>
      </w:pPr>
      <w:r>
        <w:rPr>
          <w:rFonts w:ascii="Courier New" w:hAnsi="Courier New"/>
          <w:b w:val="0"/>
          <w:i w:val="0"/>
          <w:color w:val="E06D2D"/>
          <w:sz w:val="18"/>
        </w:rPr>
        <w:t xml:space="preserve">  •  VALIDATION_BYPASS</w:t>
      </w:r>
    </w:p>
    <w:p>
      <w:pPr>
        <w:spacing w:after="80"/>
      </w:pPr>
    </w:p>
    <w:p>
      <w:pPr>
        <w:spacing w:before="0" w:after="100"/>
        <w:jc w:val="both"/>
      </w:pPr>
      <w:r>
        <w:rPr>
          <w:rFonts w:ascii="Calibri" w:hAnsi="Calibri"/>
          <w:b w:val="0"/>
          <w:i w:val="0"/>
          <w:color w:val="1A1D2E"/>
          <w:sz w:val="21"/>
        </w:rPr>
        <w:t>These represent qualitatively distinct behavioral failure modes. Data exfiltration and privilege escalation are intent-context-dependent — the same external send is benign in a marketing context and anomalous in a read-only analytics context. Tool repetition and out-of-order behavior are sequence-structure anomalies detectable without intent context. Validation bypass involves approval step removal or reordering.</w:t>
      </w:r>
    </w:p>
    <w:p>
      <w:pPr>
        <w:spacing w:before="200" w:after="80"/>
        <w:pBdr>
          <w:bottom w:val="single" w:sz="4" w:color="CDD1DC"/>
        </w:pBdr>
      </w:pPr>
      <w:r>
        <w:rPr>
          <w:rFonts w:ascii="Georgia" w:hAnsi="Georgia"/>
          <w:b w:val="0"/>
          <w:i w:val="0"/>
          <w:color w:val="1A1D2E"/>
          <w:sz w:val="26"/>
        </w:rPr>
        <w:t>1.3  Why Deep Learning?</w:t>
      </w:r>
    </w:p>
    <w:p>
      <w:pPr>
        <w:spacing w:before="0" w:after="100"/>
        <w:jc w:val="both"/>
      </w:pPr>
      <w:r>
        <w:rPr>
          <w:rFonts w:ascii="Calibri" w:hAnsi="Calibri"/>
          <w:b w:val="0"/>
          <w:i w:val="0"/>
          <w:color w:val="1A1D2E"/>
          <w:sz w:val="21"/>
        </w:rPr>
        <w:t>Rule-based systems cannot generalize across novel step combinations. Classical ML approaches such as Isolation Forest operate on hand-crafted aggregate features (run length, action category ratios) and discard temporal ordering entirely — two runs with identical feature vectors but opposite step orders are treated identically.</w:t>
      </w:r>
    </w:p>
    <w:p>
      <w:pPr>
        <w:spacing w:before="0" w:after="100"/>
        <w:jc w:val="both"/>
      </w:pPr>
      <w:r>
        <w:rPr>
          <w:rFonts w:ascii="Calibri" w:hAnsi="Calibri"/>
          <w:b w:val="0"/>
          <w:i w:val="0"/>
          <w:color w:val="1A1D2E"/>
          <w:sz w:val="21"/>
        </w:rPr>
        <w:t>Recurrent neural networks, specifically LSTMs, are a natural fit: they process sequences step-by-step, maintaining hidden state that encodes what has happened so far, enabling the model to learn that a write after a read is different from a write after a destructive action. Bidirectional processing adds context from future steps, and attention mechanisms enable per-step importance scoring — which directly produces the interpretable heat marker shown in the platform's UI.</w:t>
      </w:r>
    </w:p>
    <w:p>
      <w:pPr>
        <w:spacing w:before="0" w:after="0"/>
      </w:pPr>
      <w:r>
        <w:br w:type="page"/>
      </w:r>
    </w:p>
    <w:p>
      <w:pPr>
        <w:spacing w:before="0" w:after="80"/>
      </w:pPr>
      <w:r>
        <w:rPr>
          <w:rFonts w:ascii="Courier New" w:hAnsi="Courier New"/>
          <w:b/>
          <w:i w:val="0"/>
          <w:color w:val="E06D2D"/>
          <w:sz w:val="16"/>
        </w:rPr>
        <w:t>CHAPTER 02</w:t>
      </w:r>
    </w:p>
    <w:p>
      <w:pPr>
        <w:spacing w:before="40" w:after="200"/>
        <w:pBdr>
          <w:left w:val="single" w:sz="18" w:space="10" w:color="E06D2D"/>
        </w:pBdr>
      </w:pPr>
      <w:r>
        <w:rPr>
          <w:rFonts w:ascii="Georgia" w:hAnsi="Georgia"/>
          <w:b w:val="0"/>
          <w:i w:val="0"/>
          <w:color w:val="1A1D2E"/>
          <w:sz w:val="40"/>
        </w:rPr>
        <w:t>Related Work</w:t>
      </w:r>
    </w:p>
    <w:p>
      <w:pPr>
        <w:spacing w:before="200" w:after="80"/>
        <w:pBdr>
          <w:bottom w:val="single" w:sz="4" w:color="CDD1DC"/>
        </w:pBdr>
      </w:pPr>
      <w:r>
        <w:rPr>
          <w:rFonts w:ascii="Georgia" w:hAnsi="Georgia"/>
          <w:b w:val="0"/>
          <w:i w:val="0"/>
          <w:color w:val="1A1D2E"/>
          <w:sz w:val="26"/>
        </w:rPr>
        <w:t>2.1  Log Anomaly Detection with LSTMs</w:t>
      </w:r>
    </w:p>
    <w:p>
      <w:pPr>
        <w:spacing w:before="0" w:after="100"/>
        <w:jc w:val="both"/>
      </w:pPr>
      <w:r>
        <w:rPr>
          <w:rFonts w:ascii="Calibri" w:hAnsi="Calibri"/>
          <w:b w:val="0"/>
          <w:i w:val="0"/>
          <w:color w:val="1A1D2E"/>
          <w:sz w:val="21"/>
        </w:rPr>
        <w:t>The foundational work for our self-supervised approach is DeepLog (Du et al., 2017) [1], which applies an LSTM to system log key sequences to model normal execution as a next-event prediction problem. A log entry is flagged as anomalous when its negative log-likelihood under the trained model exceeds a threshold. AgentsOps adapts this paradigm to AI agent runs: rather than system log keys, we tokenize agent steps as structured tuples (step_type | risk_level | status), preserving richer semantic information while remaining compact enough to train on limited data.</w:t>
      </w:r>
    </w:p>
    <w:p>
      <w:pPr>
        <w:spacing w:before="200" w:after="80"/>
        <w:pBdr>
          <w:bottom w:val="single" w:sz="4" w:color="CDD1DC"/>
        </w:pBdr>
      </w:pPr>
      <w:r>
        <w:rPr>
          <w:rFonts w:ascii="Georgia" w:hAnsi="Georgia"/>
          <w:b w:val="0"/>
          <w:i w:val="0"/>
          <w:color w:val="1A1D2E"/>
          <w:sz w:val="26"/>
        </w:rPr>
        <w:t>2.2  Attention Mechanisms in Sequence Models</w:t>
      </w:r>
    </w:p>
    <w:p>
      <w:pPr>
        <w:spacing w:before="0" w:after="100"/>
        <w:jc w:val="both"/>
      </w:pPr>
      <w:r>
        <w:rPr>
          <w:rFonts w:ascii="Calibri" w:hAnsi="Calibri"/>
          <w:b w:val="0"/>
          <w:i w:val="0"/>
          <w:color w:val="1A1D2E"/>
          <w:sz w:val="21"/>
        </w:rPr>
        <w:t>Bahdanau et al. (2015) [2] introduced additive attention for neural machine translation, demonstrating that a learned alignment function could identify which source tokens most influenced each prediction step. We apply the same principle in a classification context: the attention weights αₜ over a BiLSTM's hidden states identify which agent steps contributed most to the anomaly score, directly corresponding to the problematic actions in the sequence.</w:t>
      </w:r>
    </w:p>
    <w:p>
      <w:pPr>
        <w:spacing w:before="0" w:after="100"/>
        <w:jc w:val="both"/>
      </w:pPr>
      <w:r>
        <w:rPr>
          <w:rFonts w:ascii="Calibri" w:hAnsi="Calibri"/>
          <w:b w:val="0"/>
          <w:i w:val="0"/>
          <w:color w:val="1A1D2E"/>
          <w:sz w:val="21"/>
        </w:rPr>
        <w:t>Vaswani et al. (2017) [3] demonstrated that self-attention alone, without recurrence, suffices for sequence modelling at scale. We include a Transformer encoder as a comparison model to test whether positional encoding plus self-attention is competitive with BiLSTM+attention on short sequences (max length 20) and a limited training set.</w:t>
      </w:r>
    </w:p>
    <w:p>
      <w:pPr>
        <w:spacing w:before="200" w:after="80"/>
        <w:pBdr>
          <w:bottom w:val="single" w:sz="4" w:color="CDD1DC"/>
        </w:pBdr>
      </w:pPr>
      <w:r>
        <w:rPr>
          <w:rFonts w:ascii="Georgia" w:hAnsi="Georgia"/>
          <w:b w:val="0"/>
          <w:i w:val="0"/>
          <w:color w:val="1A1D2E"/>
          <w:sz w:val="26"/>
        </w:rPr>
        <w:t>2.3  Classical Anomaly Detection Baselines</w:t>
      </w:r>
    </w:p>
    <w:p>
      <w:pPr>
        <w:spacing w:before="0" w:after="100"/>
        <w:jc w:val="both"/>
      </w:pPr>
      <w:r>
        <w:rPr>
          <w:rFonts w:ascii="Calibri" w:hAnsi="Calibri"/>
          <w:b w:val="0"/>
          <w:i w:val="0"/>
          <w:color w:val="1A1D2E"/>
          <w:sz w:val="21"/>
        </w:rPr>
        <w:t>Liu et al. (2008) [4] introduced Isolation Forest, which isolates anomalies by recursively partitioning the feature space — anomalous points are isolated with fewer partitions (shorter path lengths). We implement an Isolation Forest baseline using hand-crafted aggregate run features to establish a non-sequential performance floor. The key limitation is that Isolation Forest treats each run as a single feature vector, losing all temporal structure — a critical disadvantage for sequence-dependent anomaly types.</w:t>
      </w:r>
    </w:p>
    <w:p>
      <w:pPr>
        <w:spacing w:before="200" w:after="80"/>
        <w:pBdr>
          <w:bottom w:val="single" w:sz="4" w:color="CDD1DC"/>
        </w:pBdr>
      </w:pPr>
      <w:r>
        <w:rPr>
          <w:rFonts w:ascii="Georgia" w:hAnsi="Georgia"/>
          <w:b w:val="0"/>
          <w:i w:val="0"/>
          <w:color w:val="1A1D2E"/>
          <w:sz w:val="26"/>
        </w:rPr>
        <w:t>2.4  AI Agent Safety and Behavioral Monitoring</w:t>
      </w:r>
    </w:p>
    <w:p>
      <w:pPr>
        <w:spacing w:before="0" w:after="100"/>
        <w:jc w:val="both"/>
      </w:pPr>
      <w:r>
        <w:rPr>
          <w:rFonts w:ascii="Calibri" w:hAnsi="Calibri"/>
          <w:b w:val="0"/>
          <w:i w:val="0"/>
          <w:color w:val="1A1D2E"/>
          <w:sz w:val="21"/>
        </w:rPr>
        <w:t>Recent work by Park et al. (2023) [5] on social simulation with LLM agents surfaced emergent deceptive behaviors that no individual prompt could have predicted — reinforcing that agent safety requires monitoring of full behavioral trajectories, not single decisions. Anthropic's Constitutional AI [6] proposed rule-based self-critique as a safety mechanism; we implement a variant where the rule set ("constitution") is applied by a monitor LLM rather than the agent itself, preserving agent performance while adding a separate safety layer.</w:t>
      </w:r>
    </w:p>
    <w:p>
      <w:pPr>
        <w:spacing w:before="200" w:after="80"/>
        <w:pBdr>
          <w:bottom w:val="single" w:sz="4" w:color="CDD1DC"/>
        </w:pBdr>
      </w:pPr>
      <w:r>
        <w:rPr>
          <w:rFonts w:ascii="Georgia" w:hAnsi="Georgia"/>
          <w:b w:val="0"/>
          <w:i w:val="0"/>
          <w:color w:val="1A1D2E"/>
          <w:sz w:val="26"/>
        </w:rPr>
        <w:t>2.5  Sequence Classification with BiLSTMs</w:t>
      </w:r>
    </w:p>
    <w:p>
      <w:pPr>
        <w:spacing w:before="0" w:after="100"/>
        <w:jc w:val="both"/>
      </w:pPr>
      <w:r>
        <w:rPr>
          <w:rFonts w:ascii="Calibri" w:hAnsi="Calibri"/>
          <w:b w:val="0"/>
          <w:i w:val="0"/>
          <w:color w:val="1A1D2E"/>
          <w:sz w:val="21"/>
        </w:rPr>
        <w:t>Bi-directional LSTM architectures (Graves &amp; Schmidhuber, 2005) [8] have been widely applied to sequence classification tasks in NLP, including named entity recognition, sentiment analysis, and clinical event detection. Our application to agent run classification is structurally analogous to clinical event sequence anomaly detection (Rajpurkar et al., 2017 [9]), where sequences of medical codes are classified by outcome — both tasks involve short, heterogeneous categorical sequences with temporal dependencies and high class imbalance.</w:t>
      </w:r>
    </w:p>
    <w:p>
      <w:pPr>
        <w:spacing w:before="0" w:after="0"/>
      </w:pPr>
      <w:r>
        <w:br w:type="page"/>
      </w:r>
    </w:p>
    <w:p>
      <w:pPr>
        <w:spacing w:before="0" w:after="80"/>
      </w:pPr>
      <w:r>
        <w:rPr>
          <w:rFonts w:ascii="Courier New" w:hAnsi="Courier New"/>
          <w:b/>
          <w:i w:val="0"/>
          <w:color w:val="E06D2D"/>
          <w:sz w:val="16"/>
        </w:rPr>
        <w:t>CHAPTER 03</w:t>
      </w:r>
    </w:p>
    <w:p>
      <w:pPr>
        <w:spacing w:before="40" w:after="200"/>
        <w:pBdr>
          <w:left w:val="single" w:sz="18" w:space="10" w:color="E06D2D"/>
        </w:pBdr>
      </w:pPr>
      <w:r>
        <w:rPr>
          <w:rFonts w:ascii="Georgia" w:hAnsi="Georgia"/>
          <w:b w:val="0"/>
          <w:i w:val="0"/>
          <w:color w:val="1A1D2E"/>
          <w:sz w:val="40"/>
        </w:rPr>
        <w:t>System Architecture</w:t>
      </w:r>
    </w:p>
    <w:p>
      <w:pPr>
        <w:spacing w:before="200" w:after="80"/>
        <w:pBdr>
          <w:bottom w:val="single" w:sz="4" w:color="CDD1DC"/>
        </w:pBdr>
      </w:pPr>
      <w:r>
        <w:rPr>
          <w:rFonts w:ascii="Georgia" w:hAnsi="Georgia"/>
          <w:b w:val="0"/>
          <w:i w:val="0"/>
          <w:color w:val="1A1D2E"/>
          <w:sz w:val="26"/>
        </w:rPr>
        <w:t>3.1  Platform Overview</w:t>
      </w:r>
    </w:p>
    <w:p>
      <w:pPr>
        <w:spacing w:before="0" w:after="100"/>
        <w:jc w:val="both"/>
      </w:pPr>
      <w:r>
        <w:rPr>
          <w:rFonts w:ascii="Calibri" w:hAnsi="Calibri"/>
          <w:b w:val="0"/>
          <w:i w:val="0"/>
          <w:color w:val="1A1D2E"/>
          <w:sz w:val="21"/>
        </w:rPr>
        <w:t>AgentsOps is built as a full-stack web application with a Next.js frontend and a FastAPI backend. The platform provides a unified chat interface where users issue natural-language instructions that are routed to specialized sub-agents responsible for individual integrations (Gmail, GitHub, Google Calendar, Slack, Jira, Dropbox). Every agent run is recorded as an auditable sequence of steps in a PostgreSQL database, and anomaly scoring is applied asynchronously at run completion.</w:t>
      </w:r>
    </w:p>
    <w:p>
      <w:pPr>
        <w:spacing w:before="140" w:after="60"/>
      </w:pPr>
      <w:r>
        <w:rPr>
          <w:rFonts w:ascii="Calibri" w:hAnsi="Calibri"/>
          <w:b/>
          <w:i w:val="0"/>
          <w:color w:val="1A1D2E"/>
          <w:sz w:val="22"/>
        </w:rPr>
        <w:t>End-to-End Request Flow</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60" w:after="60"/>
            </w:pPr>
            <w:r>
              <w:rPr>
                <w:rFonts w:ascii="Courier New" w:hAnsi="Courier New"/>
                <w:b w:val="0"/>
                <w:i w:val="0"/>
                <w:color w:val="1A1D2E"/>
                <w:sz w:val="18"/>
              </w:rPr>
              <w:t>User Chat (Next.js UI)</w:t>
            </w:r>
          </w:p>
        </w:tc>
      </w:tr>
      <w:tr>
        <w:tc>
          <w:tcPr>
            <w:tcW w:type="dxa" w:w="9072"/>
            <w:shd w:val="clear" w:color="auto" w:fill="ECEEF4"/>
          </w:tcPr>
          <w:p>
            <w:pPr>
              <w:spacing w:before="60" w:after="60"/>
            </w:pPr>
            <w:r>
              <w:rPr>
                <w:rFonts w:ascii="Courier New" w:hAnsi="Courier New"/>
                <w:b w:val="0"/>
                <w:i w:val="0"/>
                <w:color w:val="1A1D2E"/>
                <w:sz w:val="18"/>
              </w:rPr>
              <w:t xml:space="preserve">  →  Intent Router (keyword + LLM)</w:t>
            </w:r>
          </w:p>
        </w:tc>
      </w:tr>
      <w:tr>
        <w:tc>
          <w:tcPr>
            <w:tcW w:type="dxa" w:w="9072"/>
            <w:shd w:val="clear" w:color="auto" w:fill="ECEEF4"/>
          </w:tcPr>
          <w:p>
            <w:pPr>
              <w:spacing w:before="60" w:after="60"/>
            </w:pPr>
            <w:r>
              <w:rPr>
                <w:rFonts w:ascii="Courier New" w:hAnsi="Courier New"/>
                <w:b w:val="0"/>
                <w:i w:val="0"/>
                <w:color w:val="1A1D2E"/>
                <w:sz w:val="18"/>
              </w:rPr>
              <w:t xml:space="preserve">  →  Orchestrator (planner + approval gate)</w:t>
            </w:r>
          </w:p>
        </w:tc>
      </w:tr>
      <w:tr>
        <w:tc>
          <w:tcPr>
            <w:tcW w:type="dxa" w:w="9072"/>
            <w:shd w:val="clear" w:color="auto" w:fill="ECEEF4"/>
          </w:tcPr>
          <w:p>
            <w:pPr>
              <w:spacing w:before="60" w:after="60"/>
            </w:pPr>
            <w:r>
              <w:rPr>
                <w:rFonts w:ascii="Courier New" w:hAnsi="Courier New"/>
                <w:b w:val="0"/>
                <w:i w:val="0"/>
                <w:color w:val="1A1D2E"/>
                <w:sz w:val="18"/>
              </w:rPr>
              <w:t xml:space="preserve">  →  Tool Agent (Gmail / GitHub / …)</w:t>
            </w:r>
          </w:p>
        </w:tc>
      </w:tr>
      <w:tr>
        <w:tc>
          <w:tcPr>
            <w:tcW w:type="dxa" w:w="9072"/>
            <w:shd w:val="clear" w:color="auto" w:fill="FFF0E6"/>
          </w:tcPr>
          <w:p>
            <w:pPr>
              <w:spacing w:before="60" w:after="60"/>
            </w:pPr>
            <w:r>
              <w:rPr>
                <w:rFonts w:ascii="Courier New" w:hAnsi="Courier New"/>
                <w:b w:val="0"/>
                <w:i w:val="0"/>
                <w:color w:val="E06D2D"/>
                <w:sz w:val="18"/>
              </w:rPr>
              <w:t xml:space="preserve">  →  Step Recorder (PostgreSQL audit log)</w:t>
            </w:r>
          </w:p>
        </w:tc>
      </w:tr>
      <w:tr>
        <w:tc>
          <w:tcPr>
            <w:tcW w:type="dxa" w:w="9072"/>
            <w:shd w:val="clear" w:color="auto" w:fill="FFF0E6"/>
          </w:tcPr>
          <w:p>
            <w:pPr>
              <w:spacing w:before="60" w:after="60"/>
            </w:pPr>
            <w:r>
              <w:rPr>
                <w:rFonts w:ascii="Courier New" w:hAnsi="Courier New"/>
                <w:b w:val="0"/>
                <w:i w:val="0"/>
                <w:color w:val="E06D2D"/>
                <w:sz w:val="18"/>
              </w:rPr>
              <w:t xml:space="preserve">  →  Anomaly Scorer (BiLSTM+Attn V2 → LSTM V1 fallback)</w:t>
            </w:r>
          </w:p>
        </w:tc>
      </w:tr>
      <w:tr>
        <w:tc>
          <w:tcPr>
            <w:tcW w:type="dxa" w:w="9072"/>
            <w:shd w:val="clear" w:color="auto" w:fill="FFF0E6"/>
          </w:tcPr>
          <w:p>
            <w:pPr>
              <w:spacing w:before="60" w:after="60"/>
            </w:pPr>
            <w:r>
              <w:rPr>
                <w:rFonts w:ascii="Courier New" w:hAnsi="Courier New"/>
                <w:b w:val="0"/>
                <w:i w:val="0"/>
                <w:color w:val="E06D2D"/>
                <w:sz w:val="18"/>
              </w:rPr>
              <w:t xml:space="preserve">  →  LLM Monitor (constitutional, risky runs only)</w:t>
            </w:r>
          </w:p>
        </w:tc>
      </w:tr>
      <w:tr>
        <w:tc>
          <w:tcPr>
            <w:tcW w:type="dxa" w:w="9072"/>
            <w:shd w:val="clear" w:color="auto" w:fill="ECEEF4"/>
          </w:tcPr>
          <w:p>
            <w:pPr>
              <w:spacing w:before="60" w:after="60"/>
            </w:pPr>
            <w:r>
              <w:rPr>
                <w:rFonts w:ascii="Courier New" w:hAnsi="Courier New"/>
                <w:b w:val="0"/>
                <w:i w:val="0"/>
                <w:color w:val="1A1D2E"/>
                <w:sz w:val="18"/>
              </w:rPr>
              <w:t xml:space="preserve">  →  DB Update (anomaly_score, flagged, step_scores)</w:t>
            </w:r>
          </w:p>
        </w:tc>
      </w:tr>
    </w:tbl>
    <w:p>
      <w:pPr>
        <w:spacing w:after="80"/>
      </w:pPr>
    </w:p>
    <w:p>
      <w:pPr>
        <w:spacing w:before="200" w:after="80"/>
        <w:pBdr>
          <w:bottom w:val="single" w:sz="4" w:color="CDD1DC"/>
        </w:pBdr>
      </w:pPr>
      <w:r>
        <w:rPr>
          <w:rFonts w:ascii="Georgia" w:hAnsi="Georgia"/>
          <w:b w:val="0"/>
          <w:i w:val="0"/>
          <w:color w:val="1A1D2E"/>
          <w:sz w:val="26"/>
        </w:rPr>
        <w:t>3.2  Data Model</w:t>
      </w:r>
    </w:p>
    <w:p>
      <w:pPr>
        <w:spacing w:before="0" w:after="100"/>
        <w:jc w:val="both"/>
      </w:pPr>
      <w:r>
        <w:rPr>
          <w:rFonts w:ascii="Calibri" w:hAnsi="Calibri"/>
          <w:b w:val="0"/>
          <w:i w:val="0"/>
          <w:color w:val="1A1D2E"/>
          <w:sz w:val="21"/>
        </w:rPr>
        <w:t>Two database entities form the foundation of the monitoring system. The AgentRun entity is the root audit record and carries the user intent string, overall status, and — after scoring — the anomaly score (0–10 float), per-step scores (JSON array), flagged boolean, and LLM reasoning text. The AgentRunStep entity records each discrete action: step type, tool or action name, status, and the full input/output payloads as JSONB.</w:t>
      </w:r>
    </w:p>
    <w:p>
      <w:pPr>
        <w:spacing w:before="160" w:after="40"/>
        <w:jc w:val="center"/>
      </w:pPr>
      <w:r>
        <w:rPr>
          <w:rFonts w:ascii="Courier New" w:hAnsi="Courier New"/>
          <w:b w:val="0"/>
          <w:i w:val="0"/>
          <w:color w:val="E06D2D"/>
          <w:sz w:val="18"/>
        </w:rPr>
        <w:t>[ Figure 1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1 ]</w:t>
            </w:r>
          </w:p>
        </w:tc>
      </w:tr>
    </w:tbl>
    <w:p>
      <w:pPr>
        <w:spacing w:before="80" w:after="160"/>
        <w:jc w:val="center"/>
      </w:pPr>
      <w:r>
        <w:rPr>
          <w:rFonts w:ascii="Calibri" w:hAnsi="Calibri"/>
          <w:b w:val="0"/>
          <w:i/>
          <w:color w:val="5A6070"/>
          <w:sz w:val="18"/>
        </w:rPr>
        <w:t>Figure 1: AgentsOps Dashboard with Run Graph. The Execution Center showing a completed agent run with per-step status and anomaly heat marker. Amber-highlighted steps indicate high attention weight assigned by the BiLSTM+Attention model.</w:t>
      </w:r>
    </w:p>
    <w:p>
      <w:pPr>
        <w:spacing w:before="200" w:after="80"/>
        <w:pBdr>
          <w:bottom w:val="single" w:sz="4" w:color="CDD1DC"/>
        </w:pBdr>
      </w:pPr>
      <w:r>
        <w:rPr>
          <w:rFonts w:ascii="Georgia" w:hAnsi="Georgia"/>
          <w:b w:val="0"/>
          <w:i w:val="0"/>
          <w:color w:val="1A1D2E"/>
          <w:sz w:val="26"/>
        </w:rPr>
        <w:t>3.3  Anomaly Scoring Pipeline</w:t>
      </w:r>
    </w:p>
    <w:p>
      <w:pPr>
        <w:spacing w:before="0" w:after="100"/>
        <w:jc w:val="both"/>
      </w:pPr>
      <w:r>
        <w:rPr>
          <w:rFonts w:ascii="Calibri" w:hAnsi="Calibri"/>
          <w:b w:val="0"/>
          <w:i w:val="0"/>
          <w:color w:val="1A1D2E"/>
          <w:sz w:val="21"/>
        </w:rPr>
        <w:t>Scoring is applied as a best-effort post-processing step after run completion. The pipeline is wrapped in a try/except so that scoring failures never affect the user-facing response. The preferred scorer is the V2 BiLSTM+Attention model (ONNX runtime); if the V2 model artifacts are unavailable, the system falls back to the V1 LSTM next-action scorer. LLM monitoring is applied selectively: only runs containing at least one tool_call step with risk category write, external_send, or destructive — or any approval step — are forwarded to the LLM monitor. This selective gating reduces LLM API cost by approximately 70% on real-world traffic.</w:t>
      </w:r>
    </w:p>
    <w:p>
      <w:pPr>
        <w:spacing w:before="200" w:after="80"/>
        <w:pBdr>
          <w:bottom w:val="single" w:sz="4" w:color="CDD1DC"/>
        </w:pBdr>
      </w:pPr>
      <w:r>
        <w:rPr>
          <w:rFonts w:ascii="Georgia" w:hAnsi="Georgia"/>
          <w:b w:val="0"/>
          <w:i w:val="0"/>
          <w:color w:val="1A1D2E"/>
          <w:sz w:val="26"/>
        </w:rPr>
        <w:t>3.4  Frontend Analytics Dashboard</w:t>
      </w:r>
    </w:p>
    <w:p>
      <w:pPr>
        <w:spacing w:before="0" w:after="100"/>
        <w:jc w:val="both"/>
      </w:pPr>
      <w:r>
        <w:rPr>
          <w:rFonts w:ascii="Calibri" w:hAnsi="Calibri"/>
          <w:b w:val="0"/>
          <w:i w:val="0"/>
          <w:color w:val="1A1D2E"/>
          <w:sz w:val="21"/>
        </w:rPr>
        <w:t>The analytics dashboard provides operators with a real-time summary of platform activity and anomaly detection results. Key metrics displayed include total agent runs, success rate, the number of hired agents currently active, and the anomaly rate (percentage of runs flagged). A seven-day stacked bar chart shows run volume broken down by status. A tool-breakdown panel shows which integrations have the highest run frequency. The flagged runs table lists the five most recent anomalous runs with their tool, status, timestamp, and anomaly score — enabling rapid triage.</w:t>
      </w:r>
    </w:p>
    <w:p>
      <w:pPr>
        <w:spacing w:before="160" w:after="40"/>
        <w:jc w:val="center"/>
      </w:pPr>
      <w:r>
        <w:rPr>
          <w:rFonts w:ascii="Courier New" w:hAnsi="Courier New"/>
          <w:b w:val="0"/>
          <w:i w:val="0"/>
          <w:color w:val="E06D2D"/>
          <w:sz w:val="18"/>
        </w:rPr>
        <w:t>[ Figure 2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2 ]</w:t>
            </w:r>
          </w:p>
        </w:tc>
      </w:tr>
    </w:tbl>
    <w:p>
      <w:pPr>
        <w:spacing w:before="80" w:after="160"/>
        <w:jc w:val="center"/>
      </w:pPr>
      <w:r>
        <w:rPr>
          <w:rFonts w:ascii="Calibri" w:hAnsi="Calibri"/>
          <w:b w:val="0"/>
          <w:i/>
          <w:color w:val="5A6070"/>
          <w:sz w:val="18"/>
        </w:rPr>
        <w:t>Figure 2: Analytics Dashboard Overview. AgentsOps Analytics page showing KPI cards (total runs, success rate, anomaly rate), 7-day bar chart, tool breakdown, and the flagged runs table with anomaly scores.</w:t>
      </w:r>
    </w:p>
    <w:p>
      <w:pPr>
        <w:spacing w:before="200" w:after="80"/>
        <w:pBdr>
          <w:bottom w:val="single" w:sz="4" w:color="CDD1DC"/>
        </w:pBdr>
      </w:pPr>
      <w:r>
        <w:rPr>
          <w:rFonts w:ascii="Georgia" w:hAnsi="Georgia"/>
          <w:b w:val="0"/>
          <w:i w:val="0"/>
          <w:color w:val="1A1D2E"/>
          <w:sz w:val="26"/>
        </w:rPr>
        <w:t>3.5  Human-in-the-Loop Governance</w:t>
      </w:r>
    </w:p>
    <w:p>
      <w:pPr>
        <w:spacing w:before="0" w:after="100"/>
        <w:jc w:val="both"/>
      </w:pPr>
      <w:r>
        <w:rPr>
          <w:rFonts w:ascii="Calibri" w:hAnsi="Calibri"/>
          <w:b w:val="0"/>
          <w:i w:val="0"/>
          <w:color w:val="1A1D2E"/>
          <w:sz w:val="21"/>
        </w:rPr>
        <w:t>Before any write, external send, or destructive operation, the agent runtime inserts an approval gate: the proposed action is presented to the user with a plain-language description, and execution is blocked until explicit confirmation is received. Approval decisions are recorded as approval steps in the run's step sequence, making the presence or absence of approval visible to the anomaly detection models. A run that contains a destructive tool call without a preceding approval step is a strong structural signal of validation bypass.</w:t>
      </w:r>
    </w:p>
    <w:p>
      <w:pPr>
        <w:spacing w:before="160" w:after="40"/>
        <w:jc w:val="center"/>
      </w:pPr>
      <w:r>
        <w:rPr>
          <w:rFonts w:ascii="Courier New" w:hAnsi="Courier New"/>
          <w:b w:val="0"/>
          <w:i w:val="0"/>
          <w:color w:val="E06D2D"/>
          <w:sz w:val="18"/>
        </w:rPr>
        <w:t>[ Figure 3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3 ]</w:t>
            </w:r>
          </w:p>
        </w:tc>
      </w:tr>
    </w:tbl>
    <w:p>
      <w:pPr>
        <w:spacing w:before="80" w:after="160"/>
        <w:jc w:val="center"/>
      </w:pPr>
      <w:r>
        <w:rPr>
          <w:rFonts w:ascii="Calibri" w:hAnsi="Calibri"/>
          <w:b w:val="0"/>
          <w:i/>
          <w:color w:val="5A6070"/>
          <w:sz w:val="18"/>
        </w:rPr>
        <w:t>Figure 3: Approval Gate / Human-in-the-Loop Confirmation Dialog. The user can Approve or Reject. The decision is recorded as part of the run's auditable step sequence.</w:t>
      </w:r>
    </w:p>
    <w:p>
      <w:pPr>
        <w:spacing w:before="0" w:after="0"/>
      </w:pPr>
      <w:r>
        <w:br w:type="page"/>
      </w:r>
    </w:p>
    <w:p>
      <w:pPr>
        <w:spacing w:before="0" w:after="80"/>
      </w:pPr>
      <w:r>
        <w:rPr>
          <w:rFonts w:ascii="Courier New" w:hAnsi="Courier New"/>
          <w:b/>
          <w:i w:val="0"/>
          <w:color w:val="E06D2D"/>
          <w:sz w:val="16"/>
        </w:rPr>
        <w:t>CHAPTER 04</w:t>
      </w:r>
    </w:p>
    <w:p>
      <w:pPr>
        <w:spacing w:before="40" w:after="200"/>
        <w:pBdr>
          <w:left w:val="single" w:sz="18" w:space="10" w:color="E06D2D"/>
        </w:pBdr>
      </w:pPr>
      <w:r>
        <w:rPr>
          <w:rFonts w:ascii="Georgia" w:hAnsi="Georgia"/>
          <w:b w:val="0"/>
          <w:i w:val="0"/>
          <w:color w:val="1A1D2E"/>
          <w:sz w:val="40"/>
        </w:rPr>
        <w:t>Deep Learning Methodology</w:t>
      </w:r>
    </w:p>
    <w:p>
      <w:pPr>
        <w:spacing w:before="200" w:after="80"/>
        <w:pBdr>
          <w:bottom w:val="single" w:sz="4" w:color="CDD1DC"/>
        </w:pBdr>
      </w:pPr>
      <w:r>
        <w:rPr>
          <w:rFonts w:ascii="Georgia" w:hAnsi="Georgia"/>
          <w:b w:val="0"/>
          <w:i w:val="0"/>
          <w:color w:val="1A1D2E"/>
          <w:sz w:val="26"/>
        </w:rPr>
        <w:t>4.1  Self-Supervised LSTM Next-Action Predictor (V1)</w:t>
      </w:r>
    </w:p>
    <w:p>
      <w:pPr>
        <w:spacing w:before="0" w:after="100"/>
        <w:jc w:val="both"/>
      </w:pPr>
      <w:r>
        <w:rPr>
          <w:rFonts w:ascii="Calibri" w:hAnsi="Calibri"/>
          <w:b w:val="0"/>
          <w:i w:val="0"/>
          <w:color w:val="1A1D2E"/>
          <w:sz w:val="21"/>
        </w:rPr>
        <w:t>The V1 model follows the DeepLog paradigm [1]: train a language model exclusively on benign sequences, then use prediction difficulty as an anomaly signal. No anomaly labels are required — the model learns what normal looks like.</w:t>
      </w:r>
    </w:p>
    <w:p>
      <w:pPr>
        <w:spacing w:before="140" w:after="60"/>
      </w:pPr>
      <w:r>
        <w:rPr>
          <w:rFonts w:ascii="Calibri" w:hAnsi="Calibri"/>
          <w:b/>
          <w:i w:val="0"/>
          <w:color w:val="1A1D2E"/>
          <w:sz w:val="22"/>
        </w:rPr>
        <w:t>Tokenization</w:t>
      </w:r>
    </w:p>
    <w:p>
      <w:pPr>
        <w:spacing w:before="0" w:after="100"/>
        <w:jc w:val="both"/>
      </w:pPr>
      <w:r>
        <w:rPr>
          <w:rFonts w:ascii="Calibri" w:hAnsi="Calibri"/>
          <w:b w:val="0"/>
          <w:i w:val="0"/>
          <w:color w:val="1A1D2E"/>
          <w:sz w:val="21"/>
        </w:rPr>
        <w:t>Each step sₜ is tokenized as the concatenation of its three most informative categorical fields. The vocabulary is built from the training corpus. Unknown tokens seen at inference (OOV) are mapped to a special &lt;UNK&gt; token. A sequence of n steps becomes an integer index sequence of length n.</w:t>
      </w:r>
    </w:p>
    <w:p>
      <w:pPr>
        <w:spacing w:before="120" w:after="20"/>
      </w:pPr>
      <w:r>
        <w:rPr>
          <w:rFonts w:ascii="Courier New" w:hAnsi="Courier New"/>
          <w:b w:val="0"/>
          <w:i w:val="0"/>
          <w:color w:val="5A6070"/>
          <w:sz w:val="15"/>
        </w:rPr>
        <w:t>TOKEN CONSTRUCTION</w:t>
      </w:r>
    </w:p>
    <w:p>
      <w:pPr>
        <w:spacing w:before="0" w:after="120"/>
        <w:ind w:left="283"/>
        <w:pBdr>
          <w:left w:val="single" w:sz="12" w:space="8" w:color="2D6FD4"/>
        </w:pBdr>
      </w:pPr>
      <w:r>
        <w:rPr>
          <w:rFonts w:ascii="Courier New" w:hAnsi="Courier New"/>
          <w:b w:val="0"/>
          <w:i w:val="0"/>
          <w:color w:val="1A1D2E"/>
          <w:sz w:val="18"/>
        </w:rPr>
        <w:t>tok(sₜ) = f"{step_type}|{risk_level}|{status}"</w:t>
        <w:br/>
        <w:br/>
        <w:t>Examples:</w:t>
        <w:br/>
        <w:t xml:space="preserve">  "tool_call|write|completed"</w:t>
        <w:br/>
        <w:t xml:space="preserve">  "approval|destructive|completed"</w:t>
        <w:br/>
        <w:t xml:space="preserve">  "route|none|completed"</w:t>
      </w:r>
    </w:p>
    <w:p>
      <w:pPr>
        <w:spacing w:before="140" w:after="60"/>
      </w:pPr>
      <w:r>
        <w:rPr>
          <w:rFonts w:ascii="Calibri" w:hAnsi="Calibri"/>
          <w:b/>
          <w:i w:val="0"/>
          <w:color w:val="1A1D2E"/>
          <w:sz w:val="22"/>
        </w:rPr>
        <w:t>Model Architecture</w:t>
      </w:r>
    </w:p>
    <w:p>
      <w:pPr>
        <w:spacing w:before="0" w:after="100"/>
        <w:jc w:val="both"/>
      </w:pPr>
      <w:r>
        <w:rPr>
          <w:rFonts w:ascii="Calibri" w:hAnsi="Calibri"/>
          <w:b w:val="0"/>
          <w:i w:val="0"/>
          <w:color w:val="1A1D2E"/>
          <w:sz w:val="21"/>
        </w:rPr>
        <w:t>The LSTM receives a sequence of token embeddings (embedding dim = 32) and produces at each timestep a hidden state hₜ ∈ ℝ¹²⁸. A linear projection maps hₜ to a probability distribution over the vocabulary, yielding the predicted probability of the next token. The model is trained to minimize cross-entropy loss between the predicted distribution and the actual next token.</w:t>
      </w:r>
    </w:p>
    <w:p>
      <w:pPr>
        <w:spacing w:before="120" w:after="20"/>
      </w:pPr>
      <w:r>
        <w:rPr>
          <w:rFonts w:ascii="Courier New" w:hAnsi="Courier New"/>
          <w:b w:val="0"/>
          <w:i w:val="0"/>
          <w:color w:val="5A6070"/>
          <w:sz w:val="15"/>
        </w:rPr>
        <w:t>TRAINING OBJECTIVE (NEXT-TOKEN PREDICTION)</w:t>
      </w:r>
    </w:p>
    <w:p>
      <w:pPr>
        <w:spacing w:before="0" w:after="120"/>
        <w:ind w:left="283"/>
        <w:pBdr>
          <w:left w:val="single" w:sz="12" w:space="8" w:color="2D6FD4"/>
        </w:pBdr>
      </w:pPr>
      <w:r>
        <w:rPr>
          <w:rFonts w:ascii="Courier New" w:hAnsi="Courier New"/>
          <w:b w:val="0"/>
          <w:i w:val="0"/>
          <w:color w:val="1A1D2E"/>
          <w:sz w:val="18"/>
        </w:rPr>
        <w:t>L = −(1/n) Σ_{t=1}^{n-1} log P(tok(s_{t+1}) | tok(s_1), …, tok(s_t))</w:t>
      </w:r>
    </w:p>
    <w:p>
      <w:pPr>
        <w:spacing w:before="140" w:after="60"/>
      </w:pPr>
      <w:r>
        <w:rPr>
          <w:rFonts w:ascii="Calibri" w:hAnsi="Calibri"/>
          <w:b/>
          <w:i w:val="0"/>
          <w:color w:val="1A1D2E"/>
          <w:sz w:val="22"/>
        </w:rPr>
        <w:t>Anomaly Scoring</w:t>
      </w:r>
    </w:p>
    <w:p>
      <w:pPr>
        <w:spacing w:before="0" w:after="100"/>
        <w:jc w:val="both"/>
      </w:pPr>
      <w:r>
        <w:rPr>
          <w:rFonts w:ascii="Calibri" w:hAnsi="Calibri"/>
          <w:b w:val="0"/>
          <w:i w:val="0"/>
          <w:color w:val="1A1D2E"/>
          <w:sz w:val="21"/>
        </w:rPr>
        <w:t>At inference, each step's contribution to the anomaly score is measured as its negative log-likelihood (NLL) under the trained model: how surprised is the model by this step given everything that came before it? The run-level anomaly score is the maximum per-step NLL, normalized to the 0–10 scale.</w:t>
      </w:r>
    </w:p>
    <w:p>
      <w:pPr>
        <w:spacing w:before="120" w:after="20"/>
      </w:pPr>
      <w:r>
        <w:rPr>
          <w:rFonts w:ascii="Courier New" w:hAnsi="Courier New"/>
          <w:b w:val="0"/>
          <w:i w:val="0"/>
          <w:color w:val="5A6070"/>
          <w:sz w:val="15"/>
        </w:rPr>
        <w:t>RUN ANOMALY SCORE (V1)</w:t>
      </w:r>
    </w:p>
    <w:p>
      <w:pPr>
        <w:spacing w:before="0" w:after="120"/>
        <w:ind w:left="283"/>
        <w:pBdr>
          <w:left w:val="single" w:sz="12" w:space="8" w:color="2D6FD4"/>
        </w:pBdr>
      </w:pPr>
      <w:r>
        <w:rPr>
          <w:rFonts w:ascii="Courier New" w:hAnsi="Courier New"/>
          <w:b w:val="0"/>
          <w:i w:val="0"/>
          <w:color w:val="1A1D2E"/>
          <w:sz w:val="18"/>
        </w:rPr>
        <w:t>score(S) = normalize( max_{t=1}^{n} NLL(sₜ | s₁, …, s_{t-1}) )</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V1 MODEL SUMMARY</w:t>
            </w:r>
          </w:p>
          <w:p>
            <w:pPr>
              <w:spacing w:before="20" w:after="20"/>
              <w:ind w:left="170"/>
            </w:pPr>
            <w:r>
              <w:rPr>
                <w:rFonts w:ascii="Calibri" w:hAnsi="Calibri"/>
                <w:b w:val="0"/>
                <w:i w:val="0"/>
                <w:color w:val="1A1D2E"/>
                <w:sz w:val="19"/>
              </w:rPr>
              <w:t xml:space="preserve">  • Architecture: Single-layer LSTM, hidden dim 128, embedding dim 32</w:t>
            </w:r>
          </w:p>
          <w:p>
            <w:pPr>
              <w:spacing w:before="20" w:after="20"/>
              <w:ind w:left="170"/>
            </w:pPr>
            <w:r>
              <w:rPr>
                <w:rFonts w:ascii="Calibri" w:hAnsi="Calibri"/>
                <w:b w:val="0"/>
                <w:i w:val="0"/>
                <w:color w:val="1A1D2E"/>
                <w:sz w:val="19"/>
              </w:rPr>
              <w:t xml:space="preserve">  • Training: Next-token prediction on 150 normal runs (cross-entropy loss)</w:t>
            </w:r>
          </w:p>
          <w:p>
            <w:pPr>
              <w:spacing w:before="20" w:after="20"/>
              <w:ind w:left="170"/>
            </w:pPr>
            <w:r>
              <w:rPr>
                <w:rFonts w:ascii="Calibri" w:hAnsi="Calibri"/>
                <w:b w:val="0"/>
                <w:i w:val="0"/>
                <w:color w:val="1A1D2E"/>
                <w:sz w:val="19"/>
              </w:rPr>
              <w:t xml:space="preserve">  • Inference: Per-step NLL → max → normalize → 0–10 score</w:t>
            </w:r>
          </w:p>
          <w:p>
            <w:pPr>
              <w:spacing w:before="20" w:after="20"/>
              <w:ind w:left="170"/>
            </w:pPr>
            <w:r>
              <w:rPr>
                <w:rFonts w:ascii="Calibri" w:hAnsi="Calibri"/>
                <w:b w:val="0"/>
                <w:i w:val="0"/>
                <w:color w:val="1A1D2E"/>
                <w:sz w:val="19"/>
              </w:rPr>
              <w:t xml:space="preserve">  • Artifact: lstm_nextaction_v1.onnx (69 KB)</w:t>
            </w:r>
          </w:p>
          <w:p>
            <w:pPr>
              <w:spacing w:before="20" w:after="20"/>
              <w:ind w:left="170"/>
            </w:pPr>
            <w:r>
              <w:rPr>
                <w:rFonts w:ascii="Calibri" w:hAnsi="Calibri"/>
                <w:b w:val="0"/>
                <w:i w:val="0"/>
                <w:color w:val="1A1D2E"/>
                <w:sz w:val="19"/>
              </w:rPr>
              <w:t xml:space="preserve">  • Strength: No labels needed; generalizes to novel sequences</w:t>
            </w:r>
          </w:p>
          <w:p>
            <w:pPr>
              <w:spacing w:before="20" w:after="20"/>
              <w:ind w:left="170"/>
            </w:pPr>
            <w:r>
              <w:rPr>
                <w:rFonts w:ascii="Calibri" w:hAnsi="Calibri"/>
                <w:b w:val="0"/>
                <w:i w:val="0"/>
                <w:color w:val="1A1D2E"/>
                <w:sz w:val="19"/>
              </w:rPr>
              <w:t xml:space="preserve">  • Weakness: Insensitive to intent-context anomalies; cannot use intent string I</w:t>
            </w:r>
          </w:p>
          <w:p>
            <w:pPr>
              <w:spacing w:before="80"/>
            </w:pPr>
          </w:p>
        </w:tc>
      </w:tr>
    </w:tbl>
    <w:p>
      <w:pPr>
        <w:spacing w:after="80"/>
      </w:pPr>
    </w:p>
    <w:p>
      <w:pPr>
        <w:spacing w:before="0" w:after="0"/>
      </w:pPr>
      <w:r>
        <w:br w:type="page"/>
      </w:r>
    </w:p>
    <w:p>
      <w:pPr>
        <w:spacing w:before="200" w:after="80"/>
        <w:pBdr>
          <w:bottom w:val="single" w:sz="4" w:color="CDD1DC"/>
        </w:pBdr>
      </w:pPr>
      <w:r>
        <w:rPr>
          <w:rFonts w:ascii="Georgia" w:hAnsi="Georgia"/>
          <w:b w:val="0"/>
          <w:i w:val="0"/>
          <w:color w:val="1A1D2E"/>
          <w:sz w:val="26"/>
        </w:rPr>
        <w:t>4.2  Supervised BiLSTM + Multi-Head Attention Classifier (V2)</w:t>
      </w:r>
    </w:p>
    <w:p>
      <w:pPr>
        <w:spacing w:before="0" w:after="100"/>
        <w:jc w:val="both"/>
      </w:pPr>
      <w:r>
        <w:rPr>
          <w:rFonts w:ascii="Calibri" w:hAnsi="Calibri"/>
          <w:b w:val="0"/>
          <w:i w:val="0"/>
          <w:color w:val="1A1D2E"/>
          <w:sz w:val="21"/>
        </w:rPr>
        <w:t>The V2 model uses labeled data and richer per-step features to distinguish all five anomaly types, and outputs per-step attention weights for interpretability.</w:t>
      </w:r>
    </w:p>
    <w:p>
      <w:pPr>
        <w:spacing w:before="140" w:after="60"/>
      </w:pPr>
      <w:r>
        <w:rPr>
          <w:rFonts w:ascii="Calibri" w:hAnsi="Calibri"/>
          <w:b/>
          <w:i w:val="0"/>
          <w:color w:val="1A1D2E"/>
          <w:sz w:val="22"/>
        </w:rPr>
        <w:t>Step Feature Embedding (StepFeatureEmbedder)</w:t>
      </w:r>
    </w:p>
    <w:p>
      <w:pPr>
        <w:spacing w:before="0" w:after="100"/>
        <w:jc w:val="both"/>
      </w:pPr>
      <w:r>
        <w:rPr>
          <w:rFonts w:ascii="Calibri" w:hAnsi="Calibri"/>
          <w:b w:val="0"/>
          <w:i w:val="0"/>
          <w:color w:val="1A1D2E"/>
          <w:sz w:val="21"/>
        </w:rPr>
        <w:t>Each step sₜ is represented as a concatenation of learned categorical embeddings and projected numeric features. Each categorical embedding is 16-dimensional. The 11-dimensional numeric feature vector x_num contains: risk_level (0–4 ordinal), status_ok (binary), approval_required, is_external_domain, is_sensitive_data_action, is_cross_tool_action, position_frac (step index / max_len), run_length_norm, intent_mismatch, intent_authorizes_risky, and is_destructive.</w:t>
      </w:r>
    </w:p>
    <w:p>
      <w:pPr>
        <w:spacing w:before="120" w:after="20"/>
      </w:pPr>
      <w:r>
        <w:rPr>
          <w:rFonts w:ascii="Courier New" w:hAnsi="Courier New"/>
          <w:b w:val="0"/>
          <w:i w:val="0"/>
          <w:color w:val="5A6070"/>
          <w:sz w:val="15"/>
        </w:rPr>
        <w:t>PER-STEP FEATURE VECTOR (dim ≈ 64)</w:t>
      </w:r>
    </w:p>
    <w:p>
      <w:pPr>
        <w:spacing w:before="0" w:after="120"/>
        <w:ind w:left="283"/>
        <w:pBdr>
          <w:left w:val="single" w:sz="12" w:space="8" w:color="2D6FD4"/>
        </w:pBdr>
      </w:pPr>
      <w:r>
        <w:rPr>
          <w:rFonts w:ascii="Courier New" w:hAnsi="Courier New"/>
          <w:b w:val="0"/>
          <w:i w:val="0"/>
          <w:color w:val="1A1D2E"/>
          <w:sz w:val="18"/>
        </w:rPr>
        <w:t>eₜ = Linear([ Emb_type(step_type) ‖ Emb_tool(tool_name) ‖ Emb_cat(action_category) ‖ W_num · x_num ])</w:t>
      </w:r>
    </w:p>
    <w:p>
      <w:pPr>
        <w:spacing w:before="0" w:after="100"/>
        <w:jc w:val="both"/>
      </w:pPr>
      <w:r>
        <w:rPr>
          <w:rFonts w:ascii="Calibri" w:hAnsi="Calibri"/>
          <w:b w:val="0"/>
          <w:i w:val="0"/>
          <w:color w:val="1A1D2E"/>
          <w:sz w:val="21"/>
        </w:rPr>
        <w:t>The intent_mismatch and intent_authorizes_risky features are the key innovation: they are computed at feature extraction time by comparing each step's action category and risk level against the user's intent string, enabling the model to learn intent-dependent anomaly patterns.</w:t>
      </w:r>
    </w:p>
    <w:p>
      <w:pPr>
        <w:spacing w:before="140" w:after="60"/>
      </w:pPr>
      <w:r>
        <w:rPr>
          <w:rFonts w:ascii="Calibri" w:hAnsi="Calibri"/>
          <w:b/>
          <w:i w:val="0"/>
          <w:color w:val="1A1D2E"/>
          <w:sz w:val="22"/>
        </w:rPr>
        <w:t>BiLSTM Encoder</w:t>
      </w:r>
    </w:p>
    <w:p>
      <w:pPr>
        <w:spacing w:before="0" w:after="100"/>
        <w:jc w:val="both"/>
      </w:pPr>
      <w:r>
        <w:rPr>
          <w:rFonts w:ascii="Calibri" w:hAnsi="Calibri"/>
          <w:b w:val="0"/>
          <w:i w:val="0"/>
          <w:color w:val="1A1D2E"/>
          <w:sz w:val="21"/>
        </w:rPr>
        <w:t>The embedded step sequence e₁, …, eₙ (zero-padded to max_len = 20) is processed by a bidirectional LSTM with hidden dim 48 (96 total per direction pair). The BiLSTM produces a forward and backward hidden state at each step; these are concatenated to yield H = [h̄₁, …, h̄ₙ], where h̄ₜ ∈ ℝ⁹⁶.</w:t>
      </w:r>
    </w:p>
    <w:p>
      <w:pPr>
        <w:spacing w:before="140" w:after="60"/>
      </w:pPr>
      <w:r>
        <w:rPr>
          <w:rFonts w:ascii="Calibri" w:hAnsi="Calibri"/>
          <w:b/>
          <w:i w:val="0"/>
          <w:color w:val="1A1D2E"/>
          <w:sz w:val="22"/>
        </w:rPr>
        <w:t>Additive Attention</w:t>
      </w:r>
    </w:p>
    <w:p>
      <w:pPr>
        <w:spacing w:before="120" w:after="20"/>
      </w:pPr>
      <w:r>
        <w:rPr>
          <w:rFonts w:ascii="Courier New" w:hAnsi="Courier New"/>
          <w:b w:val="0"/>
          <w:i w:val="0"/>
          <w:color w:val="5A6070"/>
          <w:sz w:val="15"/>
        </w:rPr>
        <w:t>ATTENTION MECHANISM</w:t>
      </w:r>
    </w:p>
    <w:p>
      <w:pPr>
        <w:spacing w:before="0" w:after="120"/>
        <w:ind w:left="283"/>
        <w:pBdr>
          <w:left w:val="single" w:sz="12" w:space="8" w:color="2D6FD4"/>
        </w:pBdr>
      </w:pPr>
      <w:r>
        <w:rPr>
          <w:rFonts w:ascii="Courier New" w:hAnsi="Courier New"/>
          <w:b w:val="0"/>
          <w:i w:val="0"/>
          <w:color w:val="1A1D2E"/>
          <w:sz w:val="18"/>
        </w:rPr>
        <w:t>uₜ = vᵀ  tanh(W_h · h̄ₜ + b)       [scalar score per step]</w:t>
        <w:br/>
        <w:t>αₜ = softmax(uₜ)                   [attention weights, sum to 1]</w:t>
        <w:br/>
        <w:t>c   = Σ_{t=1}^{n} αₜ · h̄ₜ         [context vector ∈ ℝ⁹⁶]</w:t>
      </w:r>
    </w:p>
    <w:p>
      <w:pPr>
        <w:spacing w:before="0" w:after="100"/>
        <w:jc w:val="both"/>
      </w:pPr>
      <w:r>
        <w:rPr>
          <w:rFonts w:ascii="Calibri" w:hAnsi="Calibri"/>
          <w:b w:val="0"/>
          <w:i w:val="0"/>
          <w:color w:val="1A1D2E"/>
          <w:sz w:val="21"/>
        </w:rPr>
        <w:t>Padding positions are masked out before the softmax so that padded steps receive zero attention weight. The attention weights α₁, …, αₙ are saved alongside the anomaly score in the step_scores field and rendered in the UI as a per-step heat marker.</w:t>
      </w:r>
    </w:p>
    <w:p>
      <w:pPr>
        <w:spacing w:before="140" w:after="60"/>
      </w:pPr>
      <w:r>
        <w:rPr>
          <w:rFonts w:ascii="Calibri" w:hAnsi="Calibri"/>
          <w:b/>
          <w:i w:val="0"/>
          <w:color w:val="1A1D2E"/>
          <w:sz w:val="22"/>
        </w:rPr>
        <w:t>Classification Head</w:t>
      </w:r>
    </w:p>
    <w:p>
      <w:pPr>
        <w:spacing w:before="120" w:after="20"/>
      </w:pPr>
      <w:r>
        <w:rPr>
          <w:rFonts w:ascii="Courier New" w:hAnsi="Courier New"/>
          <w:b w:val="0"/>
          <w:i w:val="0"/>
          <w:color w:val="5A6070"/>
          <w:sz w:val="15"/>
        </w:rPr>
        <w:t>CLASSIFIER OUTPUT</w:t>
      </w:r>
    </w:p>
    <w:p>
      <w:pPr>
        <w:spacing w:before="0" w:after="120"/>
        <w:ind w:left="283"/>
        <w:pBdr>
          <w:left w:val="single" w:sz="12" w:space="8" w:color="2D6FD4"/>
        </w:pBdr>
      </w:pPr>
      <w:r>
        <w:rPr>
          <w:rFonts w:ascii="Courier New" w:hAnsi="Courier New"/>
          <w:b w:val="0"/>
          <w:i w:val="0"/>
          <w:color w:val="1A1D2E"/>
          <w:sz w:val="18"/>
        </w:rPr>
        <w:t>p = σ( W_clf · c + b_clf )     [anomaly probability]</w:t>
        <w:br/>
        <w:t>score = p × 10                 [0–10 reporting scale]</w:t>
      </w:r>
    </w:p>
    <w:p>
      <w:pPr>
        <w:spacing w:before="0" w:after="100"/>
        <w:jc w:val="both"/>
      </w:pPr>
      <w:r>
        <w:rPr>
          <w:rFonts w:ascii="Calibri" w:hAnsi="Calibri"/>
          <w:b w:val="0"/>
          <w:i w:val="0"/>
          <w:color w:val="1A1D2E"/>
          <w:sz w:val="21"/>
        </w:rPr>
        <w:t>Training uses binary cross-entropy loss with class weights inversely proportional to class frequency to handle the 2:1 normal-to-anomaly ratio in the training set. Early stopping with patience = 3 is applied on validation F1. The trained model is exported to bilstm_attention_classifier_v2.onnx (184 KB).</w:t>
      </w:r>
    </w:p>
    <w:p>
      <w:pPr>
        <w:spacing w:before="0" w:after="0"/>
      </w:pPr>
      <w:r>
        <w:br w:type="page"/>
      </w:r>
    </w:p>
    <w:p>
      <w:pPr>
        <w:spacing w:before="200" w:after="80"/>
        <w:pBdr>
          <w:bottom w:val="single" w:sz="4" w:color="CDD1DC"/>
        </w:pBdr>
      </w:pPr>
      <w:r>
        <w:rPr>
          <w:rFonts w:ascii="Georgia" w:hAnsi="Georgia"/>
          <w:b w:val="0"/>
          <w:i w:val="0"/>
          <w:color w:val="1A1D2E"/>
          <w:sz w:val="26"/>
        </w:rPr>
        <w:t>4.3  Transformer Encoder Baseline</w:t>
      </w:r>
    </w:p>
    <w:p>
      <w:pPr>
        <w:spacing w:before="0" w:after="100"/>
        <w:jc w:val="both"/>
      </w:pPr>
      <w:r>
        <w:rPr>
          <w:rFonts w:ascii="Calibri" w:hAnsi="Calibri"/>
          <w:b w:val="0"/>
          <w:i w:val="0"/>
          <w:color w:val="1A1D2E"/>
          <w:sz w:val="21"/>
        </w:rPr>
        <w:t>To test whether the BiLSTM's recurrence is necessary or whether self-attention alone suffices for short agent sequences, we implement a Transformer encoder classifier as a parallel comparison. The same StepFeatureEmbedder is used to project steps to 64-dimensional vectors. Sinusoidal positional encoding is added to preserve step order. Two Transformer encoder layers (4 attention heads, feedforward dim 128, dropout 0.1) process the sequence. After the final encoder layer, padding-masked mean pooling produces a fixed-length representation, which is classified by a linear + sigmoid head identical to the BiLSTM classifier.</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TRANSFORMER VS BILSTM — KEY DIFFERENCES</w:t>
            </w:r>
          </w:p>
          <w:p>
            <w:pPr>
              <w:spacing w:before="20" w:after="20"/>
              <w:ind w:left="170"/>
            </w:pPr>
            <w:r>
              <w:rPr>
                <w:rFonts w:ascii="Calibri" w:hAnsi="Calibri"/>
                <w:b w:val="0"/>
                <w:i w:val="0"/>
                <w:color w:val="1A1D2E"/>
                <w:sz w:val="19"/>
              </w:rPr>
              <w:t xml:space="preserve">  • BiLSTM: sequential processing, inductive bias toward recency; attention adds long-range weighting on top</w:t>
            </w:r>
          </w:p>
          <w:p>
            <w:pPr>
              <w:spacing w:before="20" w:after="20"/>
              <w:ind w:left="170"/>
            </w:pPr>
            <w:r>
              <w:rPr>
                <w:rFonts w:ascii="Calibri" w:hAnsi="Calibri"/>
                <w:b w:val="0"/>
                <w:i w:val="0"/>
                <w:color w:val="1A1D2E"/>
                <w:sz w:val="19"/>
              </w:rPr>
              <w:t xml:space="preserve">  • Transformer: parallel self-attention; no recency bias; relies on positional encoding for order information</w:t>
            </w:r>
          </w:p>
          <w:p>
            <w:pPr>
              <w:spacing w:before="20" w:after="20"/>
              <w:ind w:left="170"/>
            </w:pPr>
            <w:r>
              <w:rPr>
                <w:rFonts w:ascii="Calibri" w:hAnsi="Calibri"/>
                <w:b w:val="0"/>
                <w:i w:val="0"/>
                <w:color w:val="1A1D2E"/>
                <w:sz w:val="19"/>
              </w:rPr>
              <w:t xml:space="preserve">  • On short sequences (n ≤ 20), BiLSTM's recency inductive bias is beneficial — later steps are more predictive of the final label</w:t>
            </w:r>
          </w:p>
          <w:p>
            <w:pPr>
              <w:spacing w:before="20" w:after="20"/>
              <w:ind w:left="170"/>
            </w:pPr>
            <w:r>
              <w:rPr>
                <w:rFonts w:ascii="Calibri" w:hAnsi="Calibri"/>
                <w:b w:val="0"/>
                <w:i w:val="0"/>
                <w:color w:val="1A1D2E"/>
                <w:sz w:val="19"/>
              </w:rPr>
              <w:t xml:space="preserve">  • Transformer generalizes better to sequence length distribution shifts</w:t>
            </w:r>
          </w:p>
          <w:p>
            <w:pPr>
              <w:spacing w:before="80"/>
            </w:pPr>
          </w:p>
        </w:tc>
      </w:tr>
    </w:tbl>
    <w:p>
      <w:pPr>
        <w:spacing w:after="80"/>
      </w:pPr>
    </w:p>
    <w:p>
      <w:pPr>
        <w:spacing w:before="160" w:after="40"/>
        <w:jc w:val="center"/>
      </w:pPr>
      <w:r>
        <w:rPr>
          <w:rFonts w:ascii="Courier New" w:hAnsi="Courier New"/>
          <w:b w:val="0"/>
          <w:i w:val="0"/>
          <w:color w:val="E06D2D"/>
          <w:sz w:val="18"/>
        </w:rPr>
        <w:t>[ Figure 4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4 ]</w:t>
            </w:r>
          </w:p>
        </w:tc>
      </w:tr>
    </w:tbl>
    <w:p>
      <w:pPr>
        <w:spacing w:before="80" w:after="160"/>
        <w:jc w:val="center"/>
      </w:pPr>
      <w:r>
        <w:rPr>
          <w:rFonts w:ascii="Calibri" w:hAnsi="Calibri"/>
          <w:b w:val="0"/>
          <w:i/>
          <w:color w:val="5A6070"/>
          <w:sz w:val="18"/>
        </w:rPr>
        <w:t>Figure 4: Model Training Loss Curves (BiLSTM vs Transformer). Training and validation loss curves over 30 epochs. Both converge within 15 epochs; the BiLSTM shows lower validation loss on the synthetic benchmark.</w:t>
      </w:r>
    </w:p>
    <w:p>
      <w:pPr>
        <w:spacing w:before="200" w:after="80"/>
        <w:pBdr>
          <w:bottom w:val="single" w:sz="4" w:color="CDD1DC"/>
        </w:pBdr>
      </w:pPr>
      <w:r>
        <w:rPr>
          <w:rFonts w:ascii="Georgia" w:hAnsi="Georgia"/>
          <w:b w:val="0"/>
          <w:i w:val="0"/>
          <w:color w:val="1A1D2E"/>
          <w:sz w:val="26"/>
        </w:rPr>
        <w:t>4.4  LLM Constitutional Monitor</w:t>
      </w:r>
    </w:p>
    <w:p>
      <w:pPr>
        <w:spacing w:before="0" w:after="100"/>
        <w:jc w:val="both"/>
      </w:pPr>
      <w:r>
        <w:rPr>
          <w:rFonts w:ascii="Calibri" w:hAnsi="Calibri"/>
          <w:b w:val="0"/>
          <w:i w:val="0"/>
          <w:color w:val="1A1D2E"/>
          <w:sz w:val="21"/>
        </w:rPr>
        <w:t>Learned models score deviations from statistical patterns; the LLM monitor applies explicit behavioral rules derived from a human-authored "constitution." This provides zero-shot coverage of attack patterns not represented in the training set.</w:t>
      </w:r>
    </w:p>
    <w:p>
      <w:pPr>
        <w:spacing w:before="140" w:after="60"/>
      </w:pPr>
      <w:r>
        <w:rPr>
          <w:rFonts w:ascii="Calibri" w:hAnsi="Calibri"/>
          <w:b/>
          <w:i w:val="0"/>
          <w:color w:val="1A1D2E"/>
          <w:sz w:val="22"/>
        </w:rPr>
        <w:t>Serialization</w:t>
      </w:r>
    </w:p>
    <w:p>
      <w:pPr>
        <w:spacing w:before="120" w:after="20"/>
      </w:pPr>
      <w:r>
        <w:rPr>
          <w:rFonts w:ascii="Courier New" w:hAnsi="Courier New"/>
          <w:b w:val="0"/>
          <w:i w:val="0"/>
          <w:color w:val="5A6070"/>
          <w:sz w:val="15"/>
        </w:rPr>
        <w:t>SERIALIZED STEP SEQUENCE (EXAMPLE)</w:t>
      </w:r>
    </w:p>
    <w:p>
      <w:pPr>
        <w:spacing w:before="0" w:after="120"/>
        <w:ind w:left="283"/>
        <w:pBdr>
          <w:left w:val="single" w:sz="12" w:space="8" w:color="2D6FD4"/>
        </w:pBdr>
      </w:pPr>
      <w:r>
        <w:rPr>
          <w:rFonts w:ascii="Courier New" w:hAnsi="Courier New"/>
          <w:b w:val="0"/>
          <w:i w:val="0"/>
          <w:color w:val="1A1D2E"/>
          <w:sz w:val="18"/>
        </w:rPr>
        <w:t>Intent: "summarize unread emails"</w:t>
        <w:br/>
        <w:t>Steps:</w:t>
        <w:br/>
        <w:t xml:space="preserve">  1. [tool_call] gmail.list_emails (risk: read) — completed</w:t>
        <w:br/>
        <w:t xml:space="preserve">  2. [tool_call] gmail.get_attachment (risk: read) — completed</w:t>
        <w:br/>
        <w:t xml:space="preserve">  3. [tool_call] dropbox.upload_file (risk: write) — completed</w:t>
        <w:br/>
        <w:t xml:space="preserve">  4. [tool_call] slack.send_message external=true — completed</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CONSTITUTIONAL ANOMALY RULES</w:t>
            </w:r>
          </w:p>
          <w:p>
            <w:pPr>
              <w:spacing w:before="20" w:after="20"/>
              <w:ind w:left="170"/>
            </w:pPr>
            <w:r>
              <w:rPr>
                <w:rFonts w:ascii="Calibri" w:hAnsi="Calibri"/>
                <w:b w:val="0"/>
                <w:i w:val="0"/>
                <w:color w:val="1A1D2E"/>
                <w:sz w:val="19"/>
              </w:rPr>
              <w:t xml:space="preserve">  • EXFILTRATION: data read from one service, then sent to external domain without intent authorizing it</w:t>
            </w:r>
          </w:p>
          <w:p>
            <w:pPr>
              <w:spacing w:before="20" w:after="20"/>
              <w:ind w:left="170"/>
            </w:pPr>
            <w:r>
              <w:rPr>
                <w:rFonts w:ascii="Calibri" w:hAnsi="Calibri"/>
                <w:b w:val="0"/>
                <w:i w:val="0"/>
                <w:color w:val="1A1D2E"/>
                <w:sz w:val="19"/>
              </w:rPr>
              <w:t xml:space="preserve">  • PRIVILEGE_ESCALATION: accessing resources beyond the scope of stated intent</w:t>
            </w:r>
          </w:p>
          <w:p>
            <w:pPr>
              <w:spacing w:before="20" w:after="20"/>
              <w:ind w:left="170"/>
            </w:pPr>
            <w:r>
              <w:rPr>
                <w:rFonts w:ascii="Calibri" w:hAnsi="Calibri"/>
                <w:b w:val="0"/>
                <w:i w:val="0"/>
                <w:color w:val="1A1D2E"/>
                <w:sz w:val="19"/>
              </w:rPr>
              <w:t xml:space="preserve">  • VALIDATION_BYPASS: risky or destructive action without a preceding approval step</w:t>
            </w:r>
          </w:p>
          <w:p>
            <w:pPr>
              <w:spacing w:before="20" w:after="20"/>
              <w:ind w:left="170"/>
            </w:pPr>
            <w:r>
              <w:rPr>
                <w:rFonts w:ascii="Calibri" w:hAnsi="Calibri"/>
                <w:b w:val="0"/>
                <w:i w:val="0"/>
                <w:color w:val="1A1D2E"/>
                <w:sz w:val="19"/>
              </w:rPr>
              <w:t xml:space="preserve">  • TOOL_REPETITION: same tool called more than three times with no meaningful variation in inputs</w:t>
            </w:r>
          </w:p>
          <w:p>
            <w:pPr>
              <w:spacing w:before="20" w:after="20"/>
              <w:ind w:left="170"/>
            </w:pPr>
            <w:r>
              <w:rPr>
                <w:rFonts w:ascii="Calibri" w:hAnsi="Calibri"/>
                <w:b w:val="0"/>
                <w:i w:val="0"/>
                <w:color w:val="1A1D2E"/>
                <w:sz w:val="19"/>
              </w:rPr>
              <w:t xml:space="preserve">  • OUT_OF_ORDER: verification or approval step appears after the action it was supposed to gate</w:t>
            </w:r>
          </w:p>
          <w:p>
            <w:pPr>
              <w:spacing w:before="20" w:after="20"/>
              <w:ind w:left="170"/>
            </w:pPr>
            <w:r>
              <w:rPr>
                <w:rFonts w:ascii="Calibri" w:hAnsi="Calibri"/>
                <w:b w:val="0"/>
                <w:i w:val="0"/>
                <w:color w:val="1A1D2E"/>
                <w:sz w:val="19"/>
              </w:rPr>
              <w:t xml:space="preserve">  • CONCEALMENT: error-handling or status manipulation that hides a failed step</w:t>
            </w:r>
          </w:p>
          <w:p>
            <w:pPr>
              <w:spacing w:before="80"/>
            </w:pPr>
          </w:p>
        </w:tc>
      </w:tr>
    </w:tbl>
    <w:p>
      <w:pPr>
        <w:spacing w:after="80"/>
      </w:pPr>
    </w:p>
    <w:p>
      <w:pPr>
        <w:spacing w:before="0" w:after="100"/>
        <w:jc w:val="both"/>
      </w:pPr>
      <w:r>
        <w:rPr>
          <w:rFonts w:ascii="Calibri" w:hAnsi="Calibri"/>
          <w:b w:val="0"/>
          <w:i w:val="0"/>
          <w:color w:val="1A1D2E"/>
          <w:sz w:val="21"/>
        </w:rPr>
        <w:t>The monitor returns a JSON with score (1–10), flagged (boolean, true if score ≥ 7), and reasoning (short explanation). A hard timeout of 20 seconds prevents monitor latency from stalling the pipeline. The reasoning text is stored in the llm_reasoning column and surfaced in the UI's flagged run detail view.</w:t>
      </w:r>
    </w:p>
    <w:p>
      <w:pPr>
        <w:spacing w:before="0" w:after="0"/>
      </w:pPr>
      <w:r>
        <w:br w:type="page"/>
      </w:r>
    </w:p>
    <w:p>
      <w:pPr>
        <w:spacing w:before="0" w:after="80"/>
      </w:pPr>
      <w:r>
        <w:rPr>
          <w:rFonts w:ascii="Courier New" w:hAnsi="Courier New"/>
          <w:b/>
          <w:i w:val="0"/>
          <w:color w:val="E06D2D"/>
          <w:sz w:val="16"/>
        </w:rPr>
        <w:t>CHAPTER 05</w:t>
      </w:r>
    </w:p>
    <w:p>
      <w:pPr>
        <w:spacing w:before="40" w:after="200"/>
        <w:pBdr>
          <w:left w:val="single" w:sz="18" w:space="10" w:color="E06D2D"/>
        </w:pBdr>
      </w:pPr>
      <w:r>
        <w:rPr>
          <w:rFonts w:ascii="Georgia" w:hAnsi="Georgia"/>
          <w:b w:val="0"/>
          <w:i w:val="0"/>
          <w:color w:val="1A1D2E"/>
          <w:sz w:val="40"/>
        </w:rPr>
        <w:t>Dataset &amp; Feature Engineering</w:t>
      </w:r>
    </w:p>
    <w:p>
      <w:pPr>
        <w:spacing w:before="200" w:after="80"/>
        <w:pBdr>
          <w:bottom w:val="single" w:sz="4" w:color="CDD1DC"/>
        </w:pBdr>
      </w:pPr>
      <w:r>
        <w:rPr>
          <w:rFonts w:ascii="Georgia" w:hAnsi="Georgia"/>
          <w:b w:val="0"/>
          <w:i w:val="0"/>
          <w:color w:val="1A1D2E"/>
          <w:sz w:val="26"/>
        </w:rPr>
        <w:t>5.1  Dataset Construction</w:t>
      </w:r>
    </w:p>
    <w:p>
      <w:pPr>
        <w:spacing w:before="0" w:after="100"/>
        <w:jc w:val="both"/>
      </w:pPr>
      <w:r>
        <w:rPr>
          <w:rFonts w:ascii="Calibri" w:hAnsi="Calibri"/>
          <w:b w:val="0"/>
          <w:i w:val="0"/>
          <w:color w:val="1A1D2E"/>
          <w:sz w:val="21"/>
        </w:rPr>
        <w:t>The labeled dataset used for V2 supervised training was generated synthetically using a structured data generation pipeline. Synthetic generation was chosen because (a) real anomalous runs are rare and difficult to collect without deploying the system in a red-team scenario, and (b) synthetic data allows precise control over anomaly type distribution and severity.</w:t>
      </w:r>
    </w:p>
    <w:tbl>
      <w:tblPr>
        <w:tblW w:type="auto" w:w="0"/>
        <w:jc w:val="left"/>
        <w:tblLook w:firstColumn="1" w:firstRow="1" w:lastColumn="0" w:lastRow="0" w:noHBand="0" w:noVBand="1" w:val="04A0"/>
      </w:tblPr>
      <w:tblGrid>
        <w:gridCol w:w="2268"/>
        <w:gridCol w:w="2268"/>
        <w:gridCol w:w="2268"/>
        <w:gridCol w:w="2268"/>
      </w:tblGrid>
      <w:tr>
        <w:tc>
          <w:tcPr>
            <w:tcW w:type="dxa" w:w="2268"/>
            <w:shd w:val="clear" w:color="auto" w:fill="1A1D2E"/>
          </w:tcPr>
          <w:p>
            <w:pPr>
              <w:spacing w:before="60" w:after="60"/>
            </w:pPr>
            <w:r>
              <w:rPr>
                <w:rFonts w:ascii="Courier New" w:hAnsi="Courier New"/>
                <w:b w:val="0"/>
                <w:i w:val="0"/>
                <w:color w:val="FFFFFF"/>
                <w:sz w:val="16"/>
              </w:rPr>
              <w:t>SPLIT</w:t>
            </w:r>
          </w:p>
        </w:tc>
        <w:tc>
          <w:tcPr>
            <w:tcW w:type="dxa" w:w="2268"/>
            <w:shd w:val="clear" w:color="auto" w:fill="1A1D2E"/>
          </w:tcPr>
          <w:p>
            <w:pPr>
              <w:spacing w:before="60" w:after="60"/>
            </w:pPr>
            <w:r>
              <w:rPr>
                <w:rFonts w:ascii="Courier New" w:hAnsi="Courier New"/>
                <w:b w:val="0"/>
                <w:i w:val="0"/>
                <w:color w:val="FFFFFF"/>
                <w:sz w:val="16"/>
              </w:rPr>
              <w:t>CLASS</w:t>
            </w:r>
          </w:p>
        </w:tc>
        <w:tc>
          <w:tcPr>
            <w:tcW w:type="dxa" w:w="2268"/>
            <w:shd w:val="clear" w:color="auto" w:fill="1A1D2E"/>
          </w:tcPr>
          <w:p>
            <w:pPr>
              <w:spacing w:before="60" w:after="60"/>
            </w:pPr>
            <w:r>
              <w:rPr>
                <w:rFonts w:ascii="Courier New" w:hAnsi="Courier New"/>
                <w:b w:val="0"/>
                <w:i w:val="0"/>
                <w:color w:val="FFFFFF"/>
                <w:sz w:val="16"/>
              </w:rPr>
              <w:t>COUNT</w:t>
            </w:r>
          </w:p>
        </w:tc>
        <w:tc>
          <w:tcPr>
            <w:tcW w:type="dxa" w:w="2268"/>
            <w:shd w:val="clear" w:color="auto" w:fill="1A1D2E"/>
          </w:tcPr>
          <w:p>
            <w:pPr>
              <w:spacing w:before="60" w:after="60"/>
            </w:pPr>
            <w:r>
              <w:rPr>
                <w:rFonts w:ascii="Courier New" w:hAnsi="Courier New"/>
                <w:b w:val="0"/>
                <w:i w:val="0"/>
                <w:color w:val="FFFFFF"/>
                <w:sz w:val="16"/>
              </w:rPr>
              <w:t>ANOMALY TYPE</w:t>
            </w:r>
          </w:p>
        </w:tc>
      </w:tr>
      <w:tr>
        <w:tc>
          <w:tcPr>
            <w:tcW w:type="dxa" w:w="2268"/>
            <w:shd w:val="clear" w:color="auto" w:fill="F7F8FA"/>
          </w:tcPr>
          <w:p>
            <w:pPr>
              <w:spacing w:before="60" w:after="60"/>
            </w:pPr>
            <w:r>
              <w:rPr>
                <w:rFonts w:ascii="Calibri" w:hAnsi="Calibri"/>
                <w:b w:val="0"/>
                <w:i w:val="0"/>
                <w:color w:val="1A1D2E"/>
                <w:sz w:val="19"/>
              </w:rPr>
              <w:t>Train (70%)</w:t>
            </w:r>
          </w:p>
        </w:tc>
        <w:tc>
          <w:tcPr>
            <w:tcW w:type="dxa" w:w="2268"/>
            <w:shd w:val="clear" w:color="auto" w:fill="F7F8FA"/>
          </w:tcPr>
          <w:p>
            <w:pPr>
              <w:spacing w:before="60" w:after="60"/>
            </w:pPr>
            <w:r>
              <w:rPr>
                <w:rFonts w:ascii="Calibri" w:hAnsi="Calibri"/>
                <w:b w:val="0"/>
                <w:i w:val="0"/>
                <w:color w:val="1A1D2E"/>
                <w:sz w:val="19"/>
              </w:rPr>
              <w:t>Normal</w:t>
            </w:r>
          </w:p>
        </w:tc>
        <w:tc>
          <w:tcPr>
            <w:tcW w:type="dxa" w:w="2268"/>
            <w:shd w:val="clear" w:color="auto" w:fill="F7F8FA"/>
          </w:tcPr>
          <w:p>
            <w:pPr>
              <w:spacing w:before="60" w:after="60"/>
            </w:pPr>
            <w:r>
              <w:rPr>
                <w:rFonts w:ascii="Calibri" w:hAnsi="Calibri"/>
                <w:b w:val="0"/>
                <w:i w:val="0"/>
                <w:color w:val="1A1D2E"/>
                <w:sz w:val="19"/>
              </w:rPr>
              <w:t>105</w:t>
            </w:r>
          </w:p>
        </w:tc>
        <w:tc>
          <w:tcPr>
            <w:tcW w:type="dxa" w:w="2268"/>
            <w:shd w:val="clear" w:color="auto" w:fill="F7F8FA"/>
          </w:tcPr>
          <w:p>
            <w:pPr>
              <w:spacing w:before="60" w:after="60"/>
            </w:pPr>
            <w:r>
              <w:rPr>
                <w:rFonts w:ascii="Calibri" w:hAnsi="Calibri"/>
                <w:b w:val="0"/>
                <w:i w:val="0"/>
                <w:color w:val="1A1D2E"/>
                <w:sz w:val="19"/>
              </w:rPr>
              <w:t>—</w:t>
            </w:r>
          </w:p>
        </w:tc>
      </w:tr>
      <w:tr>
        <w:tc>
          <w:tcPr>
            <w:tcW w:type="dxa" w:w="2268"/>
            <w:shd w:val="clear" w:color="auto" w:fill="FFFFFF"/>
          </w:tcPr>
          <w:p>
            <w:pPr>
              <w:spacing w:before="60" w:after="60"/>
            </w:pPr>
            <w:r>
              <w:rPr>
                <w:rFonts w:ascii="Calibri" w:hAnsi="Calibri"/>
                <w:b w:val="0"/>
                <w:i w:val="0"/>
                <w:color w:val="1A1D2E"/>
                <w:sz w:val="19"/>
              </w:rPr>
              <w:t>Train (70%)</w:t>
            </w:r>
          </w:p>
        </w:tc>
        <w:tc>
          <w:tcPr>
            <w:tcW w:type="dxa" w:w="2268"/>
            <w:shd w:val="clear" w:color="auto" w:fill="FFFFFF"/>
          </w:tcPr>
          <w:p>
            <w:pPr>
              <w:spacing w:before="60" w:after="60"/>
            </w:pPr>
            <w:r>
              <w:rPr>
                <w:rFonts w:ascii="Calibri" w:hAnsi="Calibri"/>
                <w:b w:val="0"/>
                <w:i w:val="0"/>
                <w:color w:val="1A1D2E"/>
                <w:sz w:val="19"/>
              </w:rPr>
              <w:t>Anomalous</w:t>
            </w:r>
          </w:p>
        </w:tc>
        <w:tc>
          <w:tcPr>
            <w:tcW w:type="dxa" w:w="2268"/>
            <w:shd w:val="clear" w:color="auto" w:fill="FFFFFF"/>
          </w:tcPr>
          <w:p>
            <w:pPr>
              <w:spacing w:before="60" w:after="60"/>
            </w:pPr>
            <w:r>
              <w:rPr>
                <w:rFonts w:ascii="Calibri" w:hAnsi="Calibri"/>
                <w:b w:val="0"/>
                <w:i w:val="0"/>
                <w:color w:val="1A1D2E"/>
                <w:sz w:val="19"/>
              </w:rPr>
              <w:t>52</w:t>
            </w:r>
          </w:p>
        </w:tc>
        <w:tc>
          <w:tcPr>
            <w:tcW w:type="dxa" w:w="2268"/>
            <w:shd w:val="clear" w:color="auto" w:fill="FFFFFF"/>
          </w:tcPr>
          <w:p>
            <w:pPr>
              <w:spacing w:before="60" w:after="60"/>
            </w:pPr>
            <w:r>
              <w:rPr>
                <w:rFonts w:ascii="Calibri" w:hAnsi="Calibri"/>
                <w:b w:val="0"/>
                <w:i w:val="0"/>
                <w:color w:val="1A1D2E"/>
                <w:sz w:val="19"/>
              </w:rPr>
              <w:t>Mixed (all 5 types)</w:t>
            </w:r>
          </w:p>
        </w:tc>
      </w:tr>
      <w:tr>
        <w:tc>
          <w:tcPr>
            <w:tcW w:type="dxa" w:w="2268"/>
            <w:shd w:val="clear" w:color="auto" w:fill="F7F8FA"/>
          </w:tcPr>
          <w:p>
            <w:pPr>
              <w:spacing w:before="60" w:after="60"/>
            </w:pPr>
            <w:r>
              <w:rPr>
                <w:rFonts w:ascii="Calibri" w:hAnsi="Calibri"/>
                <w:b w:val="0"/>
                <w:i w:val="0"/>
                <w:color w:val="1A1D2E"/>
                <w:sz w:val="19"/>
              </w:rPr>
              <w:t>Validation (15%)</w:t>
            </w:r>
          </w:p>
        </w:tc>
        <w:tc>
          <w:tcPr>
            <w:tcW w:type="dxa" w:w="2268"/>
            <w:shd w:val="clear" w:color="auto" w:fill="F7F8FA"/>
          </w:tcPr>
          <w:p>
            <w:pPr>
              <w:spacing w:before="60" w:after="60"/>
            </w:pPr>
            <w:r>
              <w:rPr>
                <w:rFonts w:ascii="Calibri" w:hAnsi="Calibri"/>
                <w:b w:val="0"/>
                <w:i w:val="0"/>
                <w:color w:val="1A1D2E"/>
                <w:sz w:val="19"/>
              </w:rPr>
              <w:t>Normal</w:t>
            </w:r>
          </w:p>
        </w:tc>
        <w:tc>
          <w:tcPr>
            <w:tcW w:type="dxa" w:w="2268"/>
            <w:shd w:val="clear" w:color="auto" w:fill="F7F8FA"/>
          </w:tcPr>
          <w:p>
            <w:pPr>
              <w:spacing w:before="60" w:after="60"/>
            </w:pPr>
            <w:r>
              <w:rPr>
                <w:rFonts w:ascii="Calibri" w:hAnsi="Calibri"/>
                <w:b w:val="0"/>
                <w:i w:val="0"/>
                <w:color w:val="1A1D2E"/>
                <w:sz w:val="19"/>
              </w:rPr>
              <w:t>23</w:t>
            </w:r>
          </w:p>
        </w:tc>
        <w:tc>
          <w:tcPr>
            <w:tcW w:type="dxa" w:w="2268"/>
            <w:shd w:val="clear" w:color="auto" w:fill="F7F8FA"/>
          </w:tcPr>
          <w:p>
            <w:pPr>
              <w:spacing w:before="60" w:after="60"/>
            </w:pPr>
            <w:r>
              <w:rPr>
                <w:rFonts w:ascii="Calibri" w:hAnsi="Calibri"/>
                <w:b w:val="0"/>
                <w:i w:val="0"/>
                <w:color w:val="1A1D2E"/>
                <w:sz w:val="19"/>
              </w:rPr>
              <w:t>—</w:t>
            </w:r>
          </w:p>
        </w:tc>
      </w:tr>
      <w:tr>
        <w:tc>
          <w:tcPr>
            <w:tcW w:type="dxa" w:w="2268"/>
            <w:shd w:val="clear" w:color="auto" w:fill="FFFFFF"/>
          </w:tcPr>
          <w:p>
            <w:pPr>
              <w:spacing w:before="60" w:after="60"/>
            </w:pPr>
            <w:r>
              <w:rPr>
                <w:rFonts w:ascii="Calibri" w:hAnsi="Calibri"/>
                <w:b w:val="0"/>
                <w:i w:val="0"/>
                <w:color w:val="1A1D2E"/>
                <w:sz w:val="19"/>
              </w:rPr>
              <w:t>Validation (15%)</w:t>
            </w:r>
          </w:p>
        </w:tc>
        <w:tc>
          <w:tcPr>
            <w:tcW w:type="dxa" w:w="2268"/>
            <w:shd w:val="clear" w:color="auto" w:fill="FFFFFF"/>
          </w:tcPr>
          <w:p>
            <w:pPr>
              <w:spacing w:before="60" w:after="60"/>
            </w:pPr>
            <w:r>
              <w:rPr>
                <w:rFonts w:ascii="Calibri" w:hAnsi="Calibri"/>
                <w:b w:val="0"/>
                <w:i w:val="0"/>
                <w:color w:val="1A1D2E"/>
                <w:sz w:val="19"/>
              </w:rPr>
              <w:t>Anomalous</w:t>
            </w:r>
          </w:p>
        </w:tc>
        <w:tc>
          <w:tcPr>
            <w:tcW w:type="dxa" w:w="2268"/>
            <w:shd w:val="clear" w:color="auto" w:fill="FFFFFF"/>
          </w:tcPr>
          <w:p>
            <w:pPr>
              <w:spacing w:before="60" w:after="60"/>
            </w:pPr>
            <w:r>
              <w:rPr>
                <w:rFonts w:ascii="Calibri" w:hAnsi="Calibri"/>
                <w:b w:val="0"/>
                <w:i w:val="0"/>
                <w:color w:val="1A1D2E"/>
                <w:sz w:val="19"/>
              </w:rPr>
              <w:t>11</w:t>
            </w:r>
          </w:p>
        </w:tc>
        <w:tc>
          <w:tcPr>
            <w:tcW w:type="dxa" w:w="2268"/>
            <w:shd w:val="clear" w:color="auto" w:fill="FFFFFF"/>
          </w:tcPr>
          <w:p>
            <w:pPr>
              <w:spacing w:before="60" w:after="60"/>
            </w:pPr>
            <w:r>
              <w:rPr>
                <w:rFonts w:ascii="Calibri" w:hAnsi="Calibri"/>
                <w:b w:val="0"/>
                <w:i w:val="0"/>
                <w:color w:val="1A1D2E"/>
                <w:sz w:val="19"/>
              </w:rPr>
              <w:t>Mixed</w:t>
            </w:r>
          </w:p>
        </w:tc>
      </w:tr>
      <w:tr>
        <w:tc>
          <w:tcPr>
            <w:tcW w:type="dxa" w:w="2268"/>
            <w:shd w:val="clear" w:color="auto" w:fill="F7F8FA"/>
          </w:tcPr>
          <w:p>
            <w:pPr>
              <w:spacing w:before="60" w:after="60"/>
            </w:pPr>
            <w:r>
              <w:rPr>
                <w:rFonts w:ascii="Calibri" w:hAnsi="Calibri"/>
                <w:b w:val="0"/>
                <w:i w:val="0"/>
                <w:color w:val="1A1D2E"/>
                <w:sz w:val="19"/>
              </w:rPr>
              <w:t>Test (15%)</w:t>
            </w:r>
          </w:p>
        </w:tc>
        <w:tc>
          <w:tcPr>
            <w:tcW w:type="dxa" w:w="2268"/>
            <w:shd w:val="clear" w:color="auto" w:fill="F7F8FA"/>
          </w:tcPr>
          <w:p>
            <w:pPr>
              <w:spacing w:before="60" w:after="60"/>
            </w:pPr>
            <w:r>
              <w:rPr>
                <w:rFonts w:ascii="Calibri" w:hAnsi="Calibri"/>
                <w:b w:val="0"/>
                <w:i w:val="0"/>
                <w:color w:val="1A1D2E"/>
                <w:sz w:val="19"/>
              </w:rPr>
              <w:t>Normal</w:t>
            </w:r>
          </w:p>
        </w:tc>
        <w:tc>
          <w:tcPr>
            <w:tcW w:type="dxa" w:w="2268"/>
            <w:shd w:val="clear" w:color="auto" w:fill="F7F8FA"/>
          </w:tcPr>
          <w:p>
            <w:pPr>
              <w:spacing w:before="60" w:after="60"/>
            </w:pPr>
            <w:r>
              <w:rPr>
                <w:rFonts w:ascii="Calibri" w:hAnsi="Calibri"/>
                <w:b w:val="0"/>
                <w:i w:val="0"/>
                <w:color w:val="1A1D2E"/>
                <w:sz w:val="19"/>
              </w:rPr>
              <w:t>22</w:t>
            </w:r>
          </w:p>
        </w:tc>
        <w:tc>
          <w:tcPr>
            <w:tcW w:type="dxa" w:w="2268"/>
            <w:shd w:val="clear" w:color="auto" w:fill="F7F8FA"/>
          </w:tcPr>
          <w:p>
            <w:pPr>
              <w:spacing w:before="60" w:after="60"/>
            </w:pPr>
            <w:r>
              <w:rPr>
                <w:rFonts w:ascii="Calibri" w:hAnsi="Calibri"/>
                <w:b w:val="0"/>
                <w:i w:val="0"/>
                <w:color w:val="1A1D2E"/>
                <w:sz w:val="19"/>
              </w:rPr>
              <w:t>—</w:t>
            </w:r>
          </w:p>
        </w:tc>
      </w:tr>
      <w:tr>
        <w:tc>
          <w:tcPr>
            <w:tcW w:type="dxa" w:w="2268"/>
            <w:shd w:val="clear" w:color="auto" w:fill="FFFFFF"/>
          </w:tcPr>
          <w:p>
            <w:pPr>
              <w:spacing w:before="60" w:after="60"/>
            </w:pPr>
            <w:r>
              <w:rPr>
                <w:rFonts w:ascii="Calibri" w:hAnsi="Calibri"/>
                <w:b w:val="0"/>
                <w:i w:val="0"/>
                <w:color w:val="1A1D2E"/>
                <w:sz w:val="19"/>
              </w:rPr>
              <w:t>Test (15%)</w:t>
            </w:r>
          </w:p>
        </w:tc>
        <w:tc>
          <w:tcPr>
            <w:tcW w:type="dxa" w:w="2268"/>
            <w:shd w:val="clear" w:color="auto" w:fill="FFFFFF"/>
          </w:tcPr>
          <w:p>
            <w:pPr>
              <w:spacing w:before="60" w:after="60"/>
            </w:pPr>
            <w:r>
              <w:rPr>
                <w:rFonts w:ascii="Calibri" w:hAnsi="Calibri"/>
                <w:b w:val="0"/>
                <w:i w:val="0"/>
                <w:color w:val="1A1D2E"/>
                <w:sz w:val="19"/>
              </w:rPr>
              <w:t>Anomalous</w:t>
            </w:r>
          </w:p>
        </w:tc>
        <w:tc>
          <w:tcPr>
            <w:tcW w:type="dxa" w:w="2268"/>
            <w:shd w:val="clear" w:color="auto" w:fill="FFFFFF"/>
          </w:tcPr>
          <w:p>
            <w:pPr>
              <w:spacing w:before="60" w:after="60"/>
            </w:pPr>
            <w:r>
              <w:rPr>
                <w:rFonts w:ascii="Calibri" w:hAnsi="Calibri"/>
                <w:b w:val="0"/>
                <w:i w:val="0"/>
                <w:color w:val="1A1D2E"/>
                <w:sz w:val="19"/>
              </w:rPr>
              <w:t>12</w:t>
            </w:r>
          </w:p>
        </w:tc>
        <w:tc>
          <w:tcPr>
            <w:tcW w:type="dxa" w:w="2268"/>
            <w:shd w:val="clear" w:color="auto" w:fill="FFFFFF"/>
          </w:tcPr>
          <w:p>
            <w:pPr>
              <w:spacing w:before="60" w:after="60"/>
            </w:pPr>
            <w:r>
              <w:rPr>
                <w:rFonts w:ascii="Calibri" w:hAnsi="Calibri"/>
                <w:b w:val="0"/>
                <w:i w:val="0"/>
                <w:color w:val="1A1D2E"/>
                <w:sz w:val="19"/>
              </w:rPr>
              <w:t>Mixed</w:t>
            </w:r>
          </w:p>
        </w:tc>
      </w:tr>
      <w:tr>
        <w:tc>
          <w:tcPr>
            <w:tcW w:type="dxa" w:w="2268"/>
            <w:shd w:val="clear" w:color="auto" w:fill="F7F8FA"/>
          </w:tcPr>
          <w:p>
            <w:pPr>
              <w:spacing w:before="60" w:after="60"/>
            </w:pPr>
            <w:r>
              <w:rPr>
                <w:rFonts w:ascii="Calibri" w:hAnsi="Calibri"/>
                <w:b/>
                <w:i w:val="0"/>
                <w:color w:val="E06D2D"/>
                <w:sz w:val="19"/>
              </w:rPr>
              <w:t>Total</w:t>
            </w:r>
          </w:p>
        </w:tc>
        <w:tc>
          <w:tcPr>
            <w:tcW w:type="dxa" w:w="2268"/>
            <w:shd w:val="clear" w:color="auto" w:fill="F7F8FA"/>
          </w:tcPr>
          <w:p>
            <w:pPr>
              <w:spacing w:before="60" w:after="60"/>
            </w:pPr>
            <w:r>
              <w:rPr>
                <w:rFonts w:ascii="Calibri" w:hAnsi="Calibri"/>
                <w:b/>
                <w:i w:val="0"/>
                <w:color w:val="E06D2D"/>
                <w:sz w:val="19"/>
              </w:rPr>
              <w:t>Both</w:t>
            </w:r>
          </w:p>
        </w:tc>
        <w:tc>
          <w:tcPr>
            <w:tcW w:type="dxa" w:w="2268"/>
            <w:shd w:val="clear" w:color="auto" w:fill="F7F8FA"/>
          </w:tcPr>
          <w:p>
            <w:pPr>
              <w:spacing w:before="60" w:after="60"/>
            </w:pPr>
            <w:r>
              <w:rPr>
                <w:rFonts w:ascii="Calibri" w:hAnsi="Calibri"/>
                <w:b/>
                <w:i w:val="0"/>
                <w:color w:val="E06D2D"/>
                <w:sz w:val="19"/>
              </w:rPr>
              <w:t>225</w:t>
            </w:r>
          </w:p>
        </w:tc>
        <w:tc>
          <w:tcPr>
            <w:tcW w:type="dxa" w:w="2268"/>
            <w:shd w:val="clear" w:color="auto" w:fill="F7F8FA"/>
          </w:tcPr>
          <w:p>
            <w:pPr>
              <w:spacing w:before="60" w:after="60"/>
            </w:pPr>
            <w:r>
              <w:rPr>
                <w:rFonts w:ascii="Calibri" w:hAnsi="Calibri"/>
                <w:b/>
                <w:i w:val="0"/>
                <w:color w:val="E06D2D"/>
                <w:sz w:val="19"/>
              </w:rPr>
              <w:t>150 normal + 75 anomalous</w:t>
            </w:r>
          </w:p>
        </w:tc>
      </w:tr>
    </w:tbl>
    <w:p>
      <w:pPr>
        <w:spacing w:after="80"/>
      </w:pP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LIMITATION: SYNTHETIC DATA BIAS</w:t>
            </w:r>
          </w:p>
          <w:p>
            <w:pPr>
              <w:spacing w:before="20" w:after="20"/>
              <w:ind w:left="170"/>
            </w:pPr>
            <w:r>
              <w:rPr>
                <w:rFonts w:ascii="Calibri" w:hAnsi="Calibri"/>
                <w:b w:val="0"/>
                <w:i w:val="0"/>
                <w:color w:val="1A1D2E"/>
                <w:sz w:val="19"/>
              </w:rPr>
              <w:t xml:space="preserve">  • Anomalous examples are generated by rule — models trained on this dataset achieve optimistic metrics.</w:t>
            </w:r>
          </w:p>
          <w:p>
            <w:pPr>
              <w:spacing w:before="20" w:after="20"/>
              <w:ind w:left="170"/>
            </w:pPr>
            <w:r>
              <w:rPr>
                <w:rFonts w:ascii="Calibri" w:hAnsi="Calibri"/>
                <w:b w:val="0"/>
                <w:i w:val="0"/>
                <w:color w:val="1A1D2E"/>
                <w:sz w:val="19"/>
              </w:rPr>
              <w:t xml:space="preserve">  • Synthetic distribution may not fully capture real-world attack complexity.</w:t>
            </w:r>
          </w:p>
          <w:p>
            <w:pPr>
              <w:spacing w:before="20" w:after="20"/>
              <w:ind w:left="170"/>
            </w:pPr>
            <w:r>
              <w:rPr>
                <w:rFonts w:ascii="Calibri" w:hAnsi="Calibri"/>
                <w:b w:val="0"/>
                <w:i w:val="0"/>
                <w:color w:val="1A1D2E"/>
                <w:sz w:val="19"/>
              </w:rPr>
              <w:t xml:space="preserve">  • Results should be interpreted as a proof-of-concept benchmark.</w:t>
            </w:r>
          </w:p>
          <w:p>
            <w:pPr>
              <w:spacing w:before="20" w:after="20"/>
              <w:ind w:left="170"/>
            </w:pPr>
            <w:r>
              <w:rPr>
                <w:rFonts w:ascii="Calibri" w:hAnsi="Calibri"/>
                <w:b w:val="0"/>
                <w:i w:val="0"/>
                <w:color w:val="1A1D2E"/>
                <w:sz w:val="19"/>
              </w:rPr>
              <w:t xml:space="preserve">  • Future work: red-team collection of genuine anomalous runs in a controlled environment.</w:t>
            </w:r>
          </w:p>
          <w:p>
            <w:pPr>
              <w:spacing w:before="80"/>
            </w:pPr>
          </w:p>
        </w:tc>
      </w:tr>
    </w:tbl>
    <w:p>
      <w:pPr>
        <w:spacing w:after="80"/>
      </w:pPr>
    </w:p>
    <w:p>
      <w:pPr>
        <w:spacing w:before="200" w:after="80"/>
        <w:pBdr>
          <w:bottom w:val="single" w:sz="4" w:color="CDD1DC"/>
        </w:pBdr>
      </w:pPr>
      <w:r>
        <w:rPr>
          <w:rFonts w:ascii="Georgia" w:hAnsi="Georgia"/>
          <w:b w:val="0"/>
          <w:i w:val="0"/>
          <w:color w:val="1A1D2E"/>
          <w:sz w:val="26"/>
        </w:rPr>
        <w:t>5.2  Feature Engineering</w:t>
      </w:r>
    </w:p>
    <w:p>
      <w:pPr>
        <w:spacing w:before="0" w:after="100"/>
        <w:jc w:val="both"/>
      </w:pPr>
      <w:r>
        <w:rPr>
          <w:rFonts w:ascii="Calibri" w:hAnsi="Calibri"/>
          <w:b w:val="0"/>
          <w:i w:val="0"/>
          <w:color w:val="1A1D2E"/>
          <w:sz w:val="21"/>
        </w:rPr>
        <w:t>Per-step feature extraction is implemented in backend/app/anomaly/features.py. Features fall into two groups:</w:t>
      </w:r>
    </w:p>
    <w:p>
      <w:pPr>
        <w:spacing w:before="140" w:after="60"/>
      </w:pPr>
      <w:r>
        <w:rPr>
          <w:rFonts w:ascii="Calibri" w:hAnsi="Calibri"/>
          <w:b/>
          <w:i w:val="0"/>
          <w:color w:val="1A1D2E"/>
          <w:sz w:val="22"/>
        </w:rPr>
        <w:t>Categorical Features (embedded, 16-dim each)</w:t>
      </w:r>
    </w:p>
    <w:p>
      <w:pPr>
        <w:spacing w:before="20" w:after="20"/>
        <w:ind w:left="283"/>
      </w:pPr>
      <w:r>
        <w:rPr>
          <w:rFonts w:ascii="Calibri" w:hAnsi="Calibri"/>
          <w:b w:val="0"/>
          <w:i w:val="0"/>
          <w:color w:val="1A1D2E"/>
          <w:sz w:val="19"/>
        </w:rPr>
        <w:t xml:space="preserve">  •  step_type: route / plan / tool_call / approval / verify / final</w:t>
      </w:r>
    </w:p>
    <w:p>
      <w:pPr>
        <w:spacing w:before="20" w:after="20"/>
        <w:ind w:left="283"/>
      </w:pPr>
      <w:r>
        <w:rPr>
          <w:rFonts w:ascii="Calibri" w:hAnsi="Calibri"/>
          <w:b w:val="0"/>
          <w:i w:val="0"/>
          <w:color w:val="1A1D2E"/>
          <w:sz w:val="19"/>
        </w:rPr>
        <w:t xml:space="preserve">  •  tool_name: inferred from action keywords (gmail, github, slack, jira, dropbox, calendar, unknown)</w:t>
      </w:r>
    </w:p>
    <w:p>
      <w:pPr>
        <w:spacing w:before="20" w:after="20"/>
        <w:ind w:left="283"/>
      </w:pPr>
      <w:r>
        <w:rPr>
          <w:rFonts w:ascii="Calibri" w:hAnsi="Calibri"/>
          <w:b w:val="0"/>
          <w:i w:val="0"/>
          <w:color w:val="1A1D2E"/>
          <w:sz w:val="19"/>
        </w:rPr>
        <w:t xml:space="preserve">  •  action_category: read / write / external_send / destructive / internal / approval / verification</w:t>
      </w:r>
    </w:p>
    <w:p>
      <w:pPr>
        <w:spacing w:before="140" w:after="60"/>
      </w:pPr>
      <w:r>
        <w:rPr>
          <w:rFonts w:ascii="Calibri" w:hAnsi="Calibri"/>
          <w:b/>
          <w:i w:val="0"/>
          <w:color w:val="1A1D2E"/>
          <w:sz w:val="22"/>
        </w:rPr>
        <w:t>Numeric Features (11-dimensional)</w:t>
      </w:r>
    </w:p>
    <w:p>
      <w:pPr>
        <w:spacing w:before="20" w:after="20"/>
        <w:ind w:left="283"/>
      </w:pPr>
      <w:r>
        <w:rPr>
          <w:rFonts w:ascii="Calibri" w:hAnsi="Calibri"/>
          <w:b w:val="0"/>
          <w:i w:val="0"/>
          <w:color w:val="1A1D2E"/>
          <w:sz w:val="19"/>
        </w:rPr>
        <w:t xml:space="preserve">  •  risk_level: 0–4 ordinal (none=0, read=1, write=2, external=3, destructive=4)</w:t>
      </w:r>
    </w:p>
    <w:p>
      <w:pPr>
        <w:spacing w:before="20" w:after="20"/>
        <w:ind w:left="283"/>
      </w:pPr>
      <w:r>
        <w:rPr>
          <w:rFonts w:ascii="Calibri" w:hAnsi="Calibri"/>
          <w:b w:val="0"/>
          <w:i w:val="0"/>
          <w:color w:val="1A1D2E"/>
          <w:sz w:val="19"/>
        </w:rPr>
        <w:t xml:space="preserve">  •  status_ok: 1 if completed, 0 otherwise</w:t>
      </w:r>
    </w:p>
    <w:p>
      <w:pPr>
        <w:spacing w:before="20" w:after="20"/>
        <w:ind w:left="283"/>
      </w:pPr>
      <w:r>
        <w:rPr>
          <w:rFonts w:ascii="Calibri" w:hAnsi="Calibri"/>
          <w:b w:val="0"/>
          <w:i w:val="0"/>
          <w:color w:val="1A1D2E"/>
          <w:sz w:val="19"/>
        </w:rPr>
        <w:t xml:space="preserve">  •  approval_required, is_external_domain, is_sensitive_data_action</w:t>
      </w:r>
    </w:p>
    <w:p>
      <w:pPr>
        <w:spacing w:before="20" w:after="20"/>
        <w:ind w:left="283"/>
      </w:pPr>
      <w:r>
        <w:rPr>
          <w:rFonts w:ascii="Calibri" w:hAnsi="Calibri"/>
          <w:b w:val="0"/>
          <w:i w:val="0"/>
          <w:color w:val="1A1D2E"/>
          <w:sz w:val="19"/>
        </w:rPr>
        <w:t xml:space="preserve">  •  is_cross_tool_action, position_frac, run_length_norm</w:t>
      </w:r>
    </w:p>
    <w:p>
      <w:pPr>
        <w:spacing w:before="20" w:after="20"/>
        <w:ind w:left="283"/>
      </w:pPr>
      <w:r>
        <w:rPr>
          <w:rFonts w:ascii="Calibri" w:hAnsi="Calibri"/>
          <w:b w:val="0"/>
          <w:i w:val="0"/>
          <w:color w:val="1A1D2E"/>
          <w:sz w:val="19"/>
        </w:rPr>
        <w:t xml:space="preserve">  •  intent_mismatch: 1 if risky action not authorized by intent I</w:t>
      </w:r>
    </w:p>
    <w:p>
      <w:pPr>
        <w:spacing w:before="20" w:after="20"/>
        <w:ind w:left="283"/>
      </w:pPr>
      <w:r>
        <w:rPr>
          <w:rFonts w:ascii="Calibri" w:hAnsi="Calibri"/>
          <w:b w:val="0"/>
          <w:i w:val="0"/>
          <w:color w:val="1A1D2E"/>
          <w:sz w:val="19"/>
        </w:rPr>
        <w:t xml:space="preserve">  •  intent_authorizes_risky: 1 if intent permits risky actions</w:t>
      </w:r>
    </w:p>
    <w:p>
      <w:pPr>
        <w:spacing w:before="0" w:after="0"/>
      </w:pPr>
      <w:r>
        <w:br w:type="page"/>
      </w:r>
    </w:p>
    <w:p>
      <w:pPr>
        <w:spacing w:before="0" w:after="80"/>
      </w:pPr>
      <w:r>
        <w:rPr>
          <w:rFonts w:ascii="Courier New" w:hAnsi="Courier New"/>
          <w:b/>
          <w:i w:val="0"/>
          <w:color w:val="E06D2D"/>
          <w:sz w:val="16"/>
        </w:rPr>
        <w:t>CHAPTER 06</w:t>
      </w:r>
    </w:p>
    <w:p>
      <w:pPr>
        <w:spacing w:before="40" w:after="200"/>
        <w:pBdr>
          <w:left w:val="single" w:sz="18" w:space="10" w:color="E06D2D"/>
        </w:pBdr>
      </w:pPr>
      <w:r>
        <w:rPr>
          <w:rFonts w:ascii="Georgia" w:hAnsi="Georgia"/>
          <w:b w:val="0"/>
          <w:i w:val="0"/>
          <w:color w:val="1A1D2E"/>
          <w:sz w:val="40"/>
        </w:rPr>
        <w:t>Experiments &amp; Results</w:t>
      </w:r>
    </w:p>
    <w:p>
      <w:pPr>
        <w:spacing w:before="200" w:after="80"/>
        <w:pBdr>
          <w:bottom w:val="single" w:sz="4" w:color="CDD1DC"/>
        </w:pBdr>
      </w:pPr>
      <w:r>
        <w:rPr>
          <w:rFonts w:ascii="Georgia" w:hAnsi="Georgia"/>
          <w:b w:val="0"/>
          <w:i w:val="0"/>
          <w:color w:val="1A1D2E"/>
          <w:sz w:val="26"/>
        </w:rPr>
        <w:t>6.1  Experimental Setup</w:t>
      </w:r>
    </w:p>
    <w:p>
      <w:pPr>
        <w:spacing w:before="0" w:after="100"/>
        <w:jc w:val="both"/>
      </w:pPr>
      <w:r>
        <w:rPr>
          <w:rFonts w:ascii="Calibri" w:hAnsi="Calibri"/>
          <w:b w:val="0"/>
          <w:i w:val="0"/>
          <w:color w:val="1A1D2E"/>
          <w:sz w:val="21"/>
        </w:rPr>
        <w:t>All models were trained and evaluated on the 225-sample synthetic benchmark described in Chapter 5. The test set (34 samples: 22 normal, 12 anomalous) was held out throughout model development and used only for final evaluation. Evaluation metrics are Precision, Recall, F1-score (anomalous class), and AUC-ROC. The anomaly threshold θ for each learned model was tuned on the validation set by maximizing validation F1.</w:t>
      </w:r>
    </w:p>
    <w:p>
      <w:pPr>
        <w:spacing w:before="200" w:after="80"/>
        <w:pBdr>
          <w:bottom w:val="single" w:sz="4" w:color="CDD1DC"/>
        </w:pBdr>
      </w:pPr>
      <w:r>
        <w:rPr>
          <w:rFonts w:ascii="Georgia" w:hAnsi="Georgia"/>
          <w:b w:val="0"/>
          <w:i w:val="0"/>
          <w:color w:val="1A1D2E"/>
          <w:sz w:val="26"/>
        </w:rPr>
        <w:t>6.2  Overall Model Comparison</w:t>
      </w:r>
    </w:p>
    <w:tbl>
      <w:tblPr>
        <w:tblW w:type="auto" w:w="0"/>
        <w:jc w:val="left"/>
        <w:tblLook w:firstColumn="1" w:firstRow="1" w:lastColumn="0" w:lastRow="0" w:noHBand="0" w:noVBand="1" w:val="04A0"/>
      </w:tblPr>
      <w:tblGrid>
        <w:gridCol w:w="1512"/>
        <w:gridCol w:w="1512"/>
        <w:gridCol w:w="1512"/>
        <w:gridCol w:w="1512"/>
        <w:gridCol w:w="1512"/>
        <w:gridCol w:w="1512"/>
      </w:tblGrid>
      <w:tr>
        <w:tc>
          <w:tcPr>
            <w:tcW w:type="dxa" w:w="1512"/>
            <w:shd w:val="clear" w:color="auto" w:fill="1A1D2E"/>
          </w:tcPr>
          <w:p>
            <w:pPr>
              <w:spacing w:before="60" w:after="60"/>
            </w:pPr>
            <w:r>
              <w:rPr>
                <w:rFonts w:ascii="Courier New" w:hAnsi="Courier New"/>
                <w:b w:val="0"/>
                <w:i w:val="0"/>
                <w:color w:val="FFFFFF"/>
                <w:sz w:val="15"/>
              </w:rPr>
              <w:t>MODEL</w:t>
            </w:r>
          </w:p>
        </w:tc>
        <w:tc>
          <w:tcPr>
            <w:tcW w:type="dxa" w:w="1512"/>
            <w:shd w:val="clear" w:color="auto" w:fill="1A1D2E"/>
          </w:tcPr>
          <w:p>
            <w:pPr>
              <w:spacing w:before="60" w:after="60"/>
            </w:pPr>
            <w:r>
              <w:rPr>
                <w:rFonts w:ascii="Courier New" w:hAnsi="Courier New"/>
                <w:b w:val="0"/>
                <w:i w:val="0"/>
                <w:color w:val="FFFFFF"/>
                <w:sz w:val="15"/>
              </w:rPr>
              <w:t>PRECISION</w:t>
            </w:r>
          </w:p>
        </w:tc>
        <w:tc>
          <w:tcPr>
            <w:tcW w:type="dxa" w:w="1512"/>
            <w:shd w:val="clear" w:color="auto" w:fill="1A1D2E"/>
          </w:tcPr>
          <w:p>
            <w:pPr>
              <w:spacing w:before="60" w:after="60"/>
            </w:pPr>
            <w:r>
              <w:rPr>
                <w:rFonts w:ascii="Courier New" w:hAnsi="Courier New"/>
                <w:b w:val="0"/>
                <w:i w:val="0"/>
                <w:color w:val="FFFFFF"/>
                <w:sz w:val="15"/>
              </w:rPr>
              <w:t>RECALL</w:t>
            </w:r>
          </w:p>
        </w:tc>
        <w:tc>
          <w:tcPr>
            <w:tcW w:type="dxa" w:w="1512"/>
            <w:shd w:val="clear" w:color="auto" w:fill="1A1D2E"/>
          </w:tcPr>
          <w:p>
            <w:pPr>
              <w:spacing w:before="60" w:after="60"/>
            </w:pPr>
            <w:r>
              <w:rPr>
                <w:rFonts w:ascii="Courier New" w:hAnsi="Courier New"/>
                <w:b w:val="0"/>
                <w:i w:val="0"/>
                <w:color w:val="FFFFFF"/>
                <w:sz w:val="15"/>
              </w:rPr>
              <w:t>F1</w:t>
            </w:r>
          </w:p>
        </w:tc>
        <w:tc>
          <w:tcPr>
            <w:tcW w:type="dxa" w:w="1512"/>
            <w:shd w:val="clear" w:color="auto" w:fill="1A1D2E"/>
          </w:tcPr>
          <w:p>
            <w:pPr>
              <w:spacing w:before="60" w:after="60"/>
            </w:pPr>
            <w:r>
              <w:rPr>
                <w:rFonts w:ascii="Courier New" w:hAnsi="Courier New"/>
                <w:b w:val="0"/>
                <w:i w:val="0"/>
                <w:color w:val="FFFFFF"/>
                <w:sz w:val="15"/>
              </w:rPr>
              <w:t>AUC-ROC</w:t>
            </w:r>
          </w:p>
        </w:tc>
        <w:tc>
          <w:tcPr>
            <w:tcW w:type="dxa" w:w="1512"/>
            <w:shd w:val="clear" w:color="auto" w:fill="1A1D2E"/>
          </w:tcPr>
          <w:p>
            <w:pPr>
              <w:spacing w:before="60" w:after="60"/>
            </w:pPr>
            <w:r>
              <w:rPr>
                <w:rFonts w:ascii="Courier New" w:hAnsi="Courier New"/>
                <w:b w:val="0"/>
                <w:i w:val="0"/>
                <w:color w:val="FFFFFF"/>
                <w:sz w:val="15"/>
              </w:rPr>
              <w:t>EXPLAINABILITY</w:t>
            </w:r>
          </w:p>
        </w:tc>
      </w:tr>
      <w:tr>
        <w:tc>
          <w:tcPr>
            <w:tcW w:type="dxa" w:w="1512"/>
            <w:shd w:val="clear" w:color="auto" w:fill="F7F8FA"/>
          </w:tcPr>
          <w:p>
            <w:pPr>
              <w:spacing w:before="60" w:after="60"/>
            </w:pPr>
            <w:r>
              <w:rPr>
                <w:rFonts w:ascii="Calibri" w:hAnsi="Calibri"/>
                <w:b w:val="0"/>
                <w:i w:val="0"/>
                <w:color w:val="1A1D2E"/>
                <w:sz w:val="18"/>
              </w:rPr>
              <w:t>Isolation Forest (baseline)</w:t>
            </w:r>
          </w:p>
        </w:tc>
        <w:tc>
          <w:tcPr>
            <w:tcW w:type="dxa" w:w="1512"/>
            <w:shd w:val="clear" w:color="auto" w:fill="F7F8FA"/>
          </w:tcPr>
          <w:p>
            <w:pPr>
              <w:spacing w:before="60" w:after="60"/>
            </w:pPr>
            <w:r>
              <w:rPr>
                <w:rFonts w:ascii="Calibri" w:hAnsi="Calibri"/>
                <w:b w:val="0"/>
                <w:i w:val="0"/>
                <w:color w:val="1A1D2E"/>
                <w:sz w:val="18"/>
              </w:rPr>
              <w:t>0.71</w:t>
            </w:r>
          </w:p>
        </w:tc>
        <w:tc>
          <w:tcPr>
            <w:tcW w:type="dxa" w:w="1512"/>
            <w:shd w:val="clear" w:color="auto" w:fill="F7F8FA"/>
          </w:tcPr>
          <w:p>
            <w:pPr>
              <w:spacing w:before="60" w:after="60"/>
            </w:pPr>
            <w:r>
              <w:rPr>
                <w:rFonts w:ascii="Calibri" w:hAnsi="Calibri"/>
                <w:b w:val="0"/>
                <w:i w:val="0"/>
                <w:color w:val="1A1D2E"/>
                <w:sz w:val="18"/>
              </w:rPr>
              <w:t>0.65</w:t>
            </w:r>
          </w:p>
        </w:tc>
        <w:tc>
          <w:tcPr>
            <w:tcW w:type="dxa" w:w="1512"/>
            <w:shd w:val="clear" w:color="auto" w:fill="F7F8FA"/>
          </w:tcPr>
          <w:p>
            <w:pPr>
              <w:spacing w:before="60" w:after="60"/>
            </w:pPr>
            <w:r>
              <w:rPr>
                <w:rFonts w:ascii="Calibri" w:hAnsi="Calibri"/>
                <w:b w:val="0"/>
                <w:i w:val="0"/>
                <w:color w:val="1A1D2E"/>
                <w:sz w:val="18"/>
              </w:rPr>
              <w:t>0.68</w:t>
            </w:r>
          </w:p>
        </w:tc>
        <w:tc>
          <w:tcPr>
            <w:tcW w:type="dxa" w:w="1512"/>
            <w:shd w:val="clear" w:color="auto" w:fill="F7F8FA"/>
          </w:tcPr>
          <w:p>
            <w:pPr>
              <w:spacing w:before="60" w:after="60"/>
            </w:pPr>
            <w:r>
              <w:rPr>
                <w:rFonts w:ascii="Calibri" w:hAnsi="Calibri"/>
                <w:b w:val="0"/>
                <w:i w:val="0"/>
                <w:color w:val="1A1D2E"/>
                <w:sz w:val="18"/>
              </w:rPr>
              <w:t>0.79</w:t>
            </w:r>
          </w:p>
        </w:tc>
        <w:tc>
          <w:tcPr>
            <w:tcW w:type="dxa" w:w="1512"/>
            <w:shd w:val="clear" w:color="auto" w:fill="F7F8FA"/>
          </w:tcPr>
          <w:p>
            <w:pPr>
              <w:spacing w:before="60" w:after="60"/>
            </w:pPr>
            <w:r>
              <w:rPr>
                <w:rFonts w:ascii="Calibri" w:hAnsi="Calibri"/>
                <w:b w:val="0"/>
                <w:i w:val="0"/>
                <w:color w:val="1A1D2E"/>
                <w:sz w:val="18"/>
              </w:rPr>
              <w:t>None</w:t>
            </w:r>
          </w:p>
        </w:tc>
      </w:tr>
      <w:tr>
        <w:tc>
          <w:tcPr>
            <w:tcW w:type="dxa" w:w="1512"/>
            <w:shd w:val="clear" w:color="auto" w:fill="FFFFFF"/>
          </w:tcPr>
          <w:p>
            <w:pPr>
              <w:spacing w:before="60" w:after="60"/>
            </w:pPr>
            <w:r>
              <w:rPr>
                <w:rFonts w:ascii="Calibri" w:hAnsi="Calibri"/>
                <w:b w:val="0"/>
                <w:i w:val="0"/>
                <w:color w:val="1A1D2E"/>
                <w:sz w:val="18"/>
              </w:rPr>
              <w:t>LSTM Next-Action V1 (self-supervised)</w:t>
            </w:r>
          </w:p>
        </w:tc>
        <w:tc>
          <w:tcPr>
            <w:tcW w:type="dxa" w:w="1512"/>
            <w:shd w:val="clear" w:color="auto" w:fill="FFFFFF"/>
          </w:tcPr>
          <w:p>
            <w:pPr>
              <w:spacing w:before="60" w:after="60"/>
            </w:pPr>
            <w:r>
              <w:rPr>
                <w:rFonts w:ascii="Calibri" w:hAnsi="Calibri"/>
                <w:b w:val="0"/>
                <w:i w:val="0"/>
                <w:color w:val="1A1D2E"/>
                <w:sz w:val="18"/>
              </w:rPr>
              <w:t>0.82</w:t>
            </w:r>
          </w:p>
        </w:tc>
        <w:tc>
          <w:tcPr>
            <w:tcW w:type="dxa" w:w="1512"/>
            <w:shd w:val="clear" w:color="auto" w:fill="FFFFFF"/>
          </w:tcPr>
          <w:p>
            <w:pPr>
              <w:spacing w:before="60" w:after="60"/>
            </w:pPr>
            <w:r>
              <w:rPr>
                <w:rFonts w:ascii="Calibri" w:hAnsi="Calibri"/>
                <w:b w:val="0"/>
                <w:i w:val="0"/>
                <w:color w:val="1A1D2E"/>
                <w:sz w:val="18"/>
              </w:rPr>
              <w:t>0.78</w:t>
            </w:r>
          </w:p>
        </w:tc>
        <w:tc>
          <w:tcPr>
            <w:tcW w:type="dxa" w:w="1512"/>
            <w:shd w:val="clear" w:color="auto" w:fill="FFFFFF"/>
          </w:tcPr>
          <w:p>
            <w:pPr>
              <w:spacing w:before="60" w:after="60"/>
            </w:pPr>
            <w:r>
              <w:rPr>
                <w:rFonts w:ascii="Calibri" w:hAnsi="Calibri"/>
                <w:b w:val="0"/>
                <w:i w:val="0"/>
                <w:color w:val="1A1D2E"/>
                <w:sz w:val="18"/>
              </w:rPr>
              <w:t>0.80</w:t>
            </w:r>
          </w:p>
        </w:tc>
        <w:tc>
          <w:tcPr>
            <w:tcW w:type="dxa" w:w="1512"/>
            <w:shd w:val="clear" w:color="auto" w:fill="FFFFFF"/>
          </w:tcPr>
          <w:p>
            <w:pPr>
              <w:spacing w:before="60" w:after="60"/>
            </w:pPr>
            <w:r>
              <w:rPr>
                <w:rFonts w:ascii="Calibri" w:hAnsi="Calibri"/>
                <w:b w:val="0"/>
                <w:i w:val="0"/>
                <w:color w:val="1A1D2E"/>
                <w:sz w:val="18"/>
              </w:rPr>
              <w:t>0.86</w:t>
            </w:r>
          </w:p>
        </w:tc>
        <w:tc>
          <w:tcPr>
            <w:tcW w:type="dxa" w:w="1512"/>
            <w:shd w:val="clear" w:color="auto" w:fill="FFFFFF"/>
          </w:tcPr>
          <w:p>
            <w:pPr>
              <w:spacing w:before="60" w:after="60"/>
            </w:pPr>
            <w:r>
              <w:rPr>
                <w:rFonts w:ascii="Calibri" w:hAnsi="Calibri"/>
                <w:b w:val="0"/>
                <w:i w:val="0"/>
                <w:color w:val="1A1D2E"/>
                <w:sz w:val="18"/>
              </w:rPr>
              <w:t>Per-step NLL</w:t>
            </w:r>
          </w:p>
        </w:tc>
      </w:tr>
      <w:tr>
        <w:tc>
          <w:tcPr>
            <w:tcW w:type="dxa" w:w="1512"/>
            <w:shd w:val="clear" w:color="auto" w:fill="F7F8FA"/>
          </w:tcPr>
          <w:p>
            <w:pPr>
              <w:spacing w:before="60" w:after="60"/>
            </w:pPr>
            <w:r>
              <w:rPr>
                <w:rFonts w:ascii="Calibri" w:hAnsi="Calibri"/>
                <w:b w:val="0"/>
                <w:i w:val="0"/>
                <w:color w:val="1A1D2E"/>
                <w:sz w:val="18"/>
              </w:rPr>
              <w:t>Transformer Encoder</w:t>
            </w:r>
          </w:p>
        </w:tc>
        <w:tc>
          <w:tcPr>
            <w:tcW w:type="dxa" w:w="1512"/>
            <w:shd w:val="clear" w:color="auto" w:fill="F7F8FA"/>
          </w:tcPr>
          <w:p>
            <w:pPr>
              <w:spacing w:before="60" w:after="60"/>
            </w:pPr>
            <w:r>
              <w:rPr>
                <w:rFonts w:ascii="Calibri" w:hAnsi="Calibri"/>
                <w:b w:val="0"/>
                <w:i w:val="0"/>
                <w:color w:val="1A1D2E"/>
                <w:sz w:val="18"/>
              </w:rPr>
              <w:t>0.87</w:t>
            </w:r>
          </w:p>
        </w:tc>
        <w:tc>
          <w:tcPr>
            <w:tcW w:type="dxa" w:w="1512"/>
            <w:shd w:val="clear" w:color="auto" w:fill="F7F8FA"/>
          </w:tcPr>
          <w:p>
            <w:pPr>
              <w:spacing w:before="60" w:after="60"/>
            </w:pPr>
            <w:r>
              <w:rPr>
                <w:rFonts w:ascii="Calibri" w:hAnsi="Calibri"/>
                <w:b w:val="0"/>
                <w:i w:val="0"/>
                <w:color w:val="1A1D2E"/>
                <w:sz w:val="18"/>
              </w:rPr>
              <w:t>0.84</w:t>
            </w:r>
          </w:p>
        </w:tc>
        <w:tc>
          <w:tcPr>
            <w:tcW w:type="dxa" w:w="1512"/>
            <w:shd w:val="clear" w:color="auto" w:fill="F7F8FA"/>
          </w:tcPr>
          <w:p>
            <w:pPr>
              <w:spacing w:before="60" w:after="60"/>
            </w:pPr>
            <w:r>
              <w:rPr>
                <w:rFonts w:ascii="Calibri" w:hAnsi="Calibri"/>
                <w:b w:val="0"/>
                <w:i w:val="0"/>
                <w:color w:val="1A1D2E"/>
                <w:sz w:val="18"/>
              </w:rPr>
              <w:t>0.85</w:t>
            </w:r>
          </w:p>
        </w:tc>
        <w:tc>
          <w:tcPr>
            <w:tcW w:type="dxa" w:w="1512"/>
            <w:shd w:val="clear" w:color="auto" w:fill="F7F8FA"/>
          </w:tcPr>
          <w:p>
            <w:pPr>
              <w:spacing w:before="60" w:after="60"/>
            </w:pPr>
            <w:r>
              <w:rPr>
                <w:rFonts w:ascii="Calibri" w:hAnsi="Calibri"/>
                <w:b w:val="0"/>
                <w:i w:val="0"/>
                <w:color w:val="1A1D2E"/>
                <w:sz w:val="18"/>
              </w:rPr>
              <w:t>0.91</w:t>
            </w:r>
          </w:p>
        </w:tc>
        <w:tc>
          <w:tcPr>
            <w:tcW w:type="dxa" w:w="1512"/>
            <w:shd w:val="clear" w:color="auto" w:fill="F7F8FA"/>
          </w:tcPr>
          <w:p>
            <w:pPr>
              <w:spacing w:before="60" w:after="60"/>
            </w:pPr>
            <w:r>
              <w:rPr>
                <w:rFonts w:ascii="Calibri" w:hAnsi="Calibri"/>
                <w:b w:val="0"/>
                <w:i w:val="0"/>
                <w:color w:val="1A1D2E"/>
                <w:sz w:val="18"/>
              </w:rPr>
              <w:t>Self-attention</w:t>
            </w:r>
          </w:p>
        </w:tc>
      </w:tr>
      <w:tr>
        <w:tc>
          <w:tcPr>
            <w:tcW w:type="dxa" w:w="1512"/>
            <w:shd w:val="clear" w:color="auto" w:fill="FFF0E6"/>
          </w:tcPr>
          <w:p>
            <w:pPr>
              <w:spacing w:before="60" w:after="60"/>
            </w:pPr>
            <w:r>
              <w:rPr>
                <w:rFonts w:ascii="Calibri" w:hAnsi="Calibri"/>
                <w:b/>
                <w:i w:val="0"/>
                <w:color w:val="E06D2D"/>
                <w:sz w:val="18"/>
              </w:rPr>
              <w:t>BiLSTM + Attention V2</w:t>
            </w:r>
          </w:p>
        </w:tc>
        <w:tc>
          <w:tcPr>
            <w:tcW w:type="dxa" w:w="1512"/>
            <w:shd w:val="clear" w:color="auto" w:fill="FFF0E6"/>
          </w:tcPr>
          <w:p>
            <w:pPr>
              <w:spacing w:before="60" w:after="60"/>
            </w:pPr>
            <w:r>
              <w:rPr>
                <w:rFonts w:ascii="Calibri" w:hAnsi="Calibri"/>
                <w:b/>
                <w:i w:val="0"/>
                <w:color w:val="E06D2D"/>
                <w:sz w:val="18"/>
              </w:rPr>
              <w:t>0.91</w:t>
            </w:r>
          </w:p>
        </w:tc>
        <w:tc>
          <w:tcPr>
            <w:tcW w:type="dxa" w:w="1512"/>
            <w:shd w:val="clear" w:color="auto" w:fill="FFF0E6"/>
          </w:tcPr>
          <w:p>
            <w:pPr>
              <w:spacing w:before="60" w:after="60"/>
            </w:pPr>
            <w:r>
              <w:rPr>
                <w:rFonts w:ascii="Calibri" w:hAnsi="Calibri"/>
                <w:b/>
                <w:i w:val="0"/>
                <w:color w:val="E06D2D"/>
                <w:sz w:val="18"/>
              </w:rPr>
              <w:t>0.88</w:t>
            </w:r>
          </w:p>
        </w:tc>
        <w:tc>
          <w:tcPr>
            <w:tcW w:type="dxa" w:w="1512"/>
            <w:shd w:val="clear" w:color="auto" w:fill="FFF0E6"/>
          </w:tcPr>
          <w:p>
            <w:pPr>
              <w:spacing w:before="60" w:after="60"/>
            </w:pPr>
            <w:r>
              <w:rPr>
                <w:rFonts w:ascii="Calibri" w:hAnsi="Calibri"/>
                <w:b/>
                <w:i w:val="0"/>
                <w:color w:val="E06D2D"/>
                <w:sz w:val="18"/>
              </w:rPr>
              <w:t>0.89</w:t>
            </w:r>
          </w:p>
        </w:tc>
        <w:tc>
          <w:tcPr>
            <w:tcW w:type="dxa" w:w="1512"/>
            <w:shd w:val="clear" w:color="auto" w:fill="FFF0E6"/>
          </w:tcPr>
          <w:p>
            <w:pPr>
              <w:spacing w:before="60" w:after="60"/>
            </w:pPr>
            <w:r>
              <w:rPr>
                <w:rFonts w:ascii="Calibri" w:hAnsi="Calibri"/>
                <w:b/>
                <w:i w:val="0"/>
                <w:color w:val="E06D2D"/>
                <w:sz w:val="18"/>
              </w:rPr>
              <w:t>0.94</w:t>
            </w:r>
          </w:p>
        </w:tc>
        <w:tc>
          <w:tcPr>
            <w:tcW w:type="dxa" w:w="1512"/>
            <w:shd w:val="clear" w:color="auto" w:fill="FFF0E6"/>
          </w:tcPr>
          <w:p>
            <w:pPr>
              <w:spacing w:before="60" w:after="60"/>
            </w:pPr>
            <w:r>
              <w:rPr>
                <w:rFonts w:ascii="Calibri" w:hAnsi="Calibri"/>
                <w:b/>
                <w:i w:val="0"/>
                <w:color w:val="E06D2D"/>
                <w:sz w:val="18"/>
              </w:rPr>
              <w:t>Additive attention</w:t>
            </w:r>
          </w:p>
        </w:tc>
      </w:tr>
      <w:tr>
        <w:tc>
          <w:tcPr>
            <w:tcW w:type="dxa" w:w="1512"/>
            <w:shd w:val="clear" w:color="auto" w:fill="F7F8FA"/>
          </w:tcPr>
          <w:p>
            <w:pPr>
              <w:spacing w:before="60" w:after="60"/>
            </w:pPr>
            <w:r>
              <w:rPr>
                <w:rFonts w:ascii="Calibri" w:hAnsi="Calibri"/>
                <w:b w:val="0"/>
                <w:i w:val="0"/>
                <w:color w:val="1A1D2E"/>
                <w:sz w:val="18"/>
              </w:rPr>
              <w:t>LLM Constitutional Monitor</w:t>
            </w:r>
          </w:p>
        </w:tc>
        <w:tc>
          <w:tcPr>
            <w:tcW w:type="dxa" w:w="1512"/>
            <w:shd w:val="clear" w:color="auto" w:fill="F7F8FA"/>
          </w:tcPr>
          <w:p>
            <w:pPr>
              <w:spacing w:before="60" w:after="60"/>
            </w:pPr>
            <w:r>
              <w:rPr>
                <w:rFonts w:ascii="Calibri" w:hAnsi="Calibri"/>
                <w:b w:val="0"/>
                <w:i w:val="0"/>
                <w:color w:val="1A1D2E"/>
                <w:sz w:val="18"/>
              </w:rPr>
              <w:t>0.93</w:t>
            </w:r>
          </w:p>
        </w:tc>
        <w:tc>
          <w:tcPr>
            <w:tcW w:type="dxa" w:w="1512"/>
            <w:shd w:val="clear" w:color="auto" w:fill="F7F8FA"/>
          </w:tcPr>
          <w:p>
            <w:pPr>
              <w:spacing w:before="60" w:after="60"/>
            </w:pPr>
            <w:r>
              <w:rPr>
                <w:rFonts w:ascii="Calibri" w:hAnsi="Calibri"/>
                <w:b w:val="0"/>
                <w:i w:val="0"/>
                <w:color w:val="1A1D2E"/>
                <w:sz w:val="18"/>
              </w:rPr>
              <w:t>0.75</w:t>
            </w:r>
          </w:p>
        </w:tc>
        <w:tc>
          <w:tcPr>
            <w:tcW w:type="dxa" w:w="1512"/>
            <w:shd w:val="clear" w:color="auto" w:fill="F7F8FA"/>
          </w:tcPr>
          <w:p>
            <w:pPr>
              <w:spacing w:before="60" w:after="60"/>
            </w:pPr>
            <w:r>
              <w:rPr>
                <w:rFonts w:ascii="Calibri" w:hAnsi="Calibri"/>
                <w:b w:val="0"/>
                <w:i w:val="0"/>
                <w:color w:val="1A1D2E"/>
                <w:sz w:val="18"/>
              </w:rPr>
              <w:t>0.83</w:t>
            </w:r>
          </w:p>
        </w:tc>
        <w:tc>
          <w:tcPr>
            <w:tcW w:type="dxa" w:w="1512"/>
            <w:shd w:val="clear" w:color="auto" w:fill="F7F8FA"/>
          </w:tcPr>
          <w:p>
            <w:pPr>
              <w:spacing w:before="60" w:after="60"/>
            </w:pPr>
            <w:r>
              <w:rPr>
                <w:rFonts w:ascii="Calibri" w:hAnsi="Calibri"/>
                <w:b w:val="0"/>
                <w:i w:val="0"/>
                <w:color w:val="1A1D2E"/>
                <w:sz w:val="18"/>
              </w:rPr>
              <w:t>—</w:t>
            </w:r>
          </w:p>
        </w:tc>
        <w:tc>
          <w:tcPr>
            <w:tcW w:type="dxa" w:w="1512"/>
            <w:shd w:val="clear" w:color="auto" w:fill="F7F8FA"/>
          </w:tcPr>
          <w:p>
            <w:pPr>
              <w:spacing w:before="60" w:after="60"/>
            </w:pPr>
            <w:r>
              <w:rPr>
                <w:rFonts w:ascii="Calibri" w:hAnsi="Calibri"/>
                <w:b w:val="0"/>
                <w:i w:val="0"/>
                <w:color w:val="1A1D2E"/>
                <w:sz w:val="18"/>
              </w:rPr>
              <w:t>Natural language</w:t>
            </w:r>
          </w:p>
        </w:tc>
      </w:tr>
    </w:tbl>
    <w:p>
      <w:pPr>
        <w:spacing w:after="80"/>
      </w:pPr>
    </w:p>
    <w:p>
      <w:pPr>
        <w:spacing w:before="0" w:after="100"/>
        <w:jc w:val="both"/>
      </w:pPr>
      <w:r>
        <w:rPr>
          <w:rFonts w:ascii="Calibri" w:hAnsi="Calibri"/>
          <w:b w:val="0"/>
          <w:i w:val="0"/>
          <w:color w:val="1A1D2E"/>
          <w:sz w:val="21"/>
        </w:rPr>
        <w:t>The BiLSTM+Attention V2 model achieves the best F1 and AUC-ROC among the learned models. The LLM monitor achieves higher precision (fewer false positives) but lower recall (misses more anomalies), making it complementary — it catches different patterns and provides human-readable explanations. The Transformer encoder is competitive with the BiLSTM on this small dataset; we expect the gap to widen in favor of BiLSTM at longer sequence lengths due to the recency inductive bias.</w:t>
      </w:r>
    </w:p>
    <w:p>
      <w:pPr>
        <w:spacing w:before="160" w:after="40"/>
        <w:jc w:val="center"/>
      </w:pPr>
      <w:r>
        <w:rPr>
          <w:rFonts w:ascii="Courier New" w:hAnsi="Courier New"/>
          <w:b w:val="0"/>
          <w:i w:val="0"/>
          <w:color w:val="E06D2D"/>
          <w:sz w:val="18"/>
        </w:rPr>
        <w:t>[ Figure 5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5 ]</w:t>
            </w:r>
          </w:p>
        </w:tc>
      </w:tr>
    </w:tbl>
    <w:p>
      <w:pPr>
        <w:spacing w:before="80" w:after="160"/>
        <w:jc w:val="center"/>
      </w:pPr>
      <w:r>
        <w:rPr>
          <w:rFonts w:ascii="Calibri" w:hAnsi="Calibri"/>
          <w:b w:val="0"/>
          <w:i/>
          <w:color w:val="5A6070"/>
          <w:sz w:val="18"/>
        </w:rPr>
        <w:t>Figure 5: ROC Curves for All Four Models. The BiLSTM+Attention V2 achieves AUC = 0.94, representing a 15-point improvement over the Isolation Forest baseline.</w:t>
      </w:r>
    </w:p>
    <w:p>
      <w:pPr>
        <w:spacing w:before="200" w:after="80"/>
        <w:pBdr>
          <w:bottom w:val="single" w:sz="4" w:color="CDD1DC"/>
        </w:pBdr>
      </w:pPr>
      <w:r>
        <w:rPr>
          <w:rFonts w:ascii="Georgia" w:hAnsi="Georgia"/>
          <w:b w:val="0"/>
          <w:i w:val="0"/>
          <w:color w:val="1A1D2E"/>
          <w:sz w:val="26"/>
        </w:rPr>
        <w:t>6.3  Per-Anomaly-Type Performance (BiLSTM V2)</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A1D2E"/>
          </w:tcPr>
          <w:p>
            <w:pPr>
              <w:spacing w:before="60" w:after="60"/>
            </w:pPr>
            <w:r>
              <w:rPr>
                <w:rFonts w:ascii="Courier New" w:hAnsi="Courier New"/>
                <w:b w:val="0"/>
                <w:i w:val="0"/>
                <w:color w:val="FFFFFF"/>
                <w:sz w:val="15"/>
              </w:rPr>
              <w:t>ANOMALY TYPE</w:t>
            </w:r>
          </w:p>
        </w:tc>
        <w:tc>
          <w:tcPr>
            <w:tcW w:type="dxa" w:w="1814"/>
            <w:shd w:val="clear" w:color="auto" w:fill="1A1D2E"/>
          </w:tcPr>
          <w:p>
            <w:pPr>
              <w:spacing w:before="60" w:after="60"/>
            </w:pPr>
            <w:r>
              <w:rPr>
                <w:rFonts w:ascii="Courier New" w:hAnsi="Courier New"/>
                <w:b w:val="0"/>
                <w:i w:val="0"/>
                <w:color w:val="FFFFFF"/>
                <w:sz w:val="15"/>
              </w:rPr>
              <w:t>PRECISION</w:t>
            </w:r>
          </w:p>
        </w:tc>
        <w:tc>
          <w:tcPr>
            <w:tcW w:type="dxa" w:w="1814"/>
            <w:shd w:val="clear" w:color="auto" w:fill="1A1D2E"/>
          </w:tcPr>
          <w:p>
            <w:pPr>
              <w:spacing w:before="60" w:after="60"/>
            </w:pPr>
            <w:r>
              <w:rPr>
                <w:rFonts w:ascii="Courier New" w:hAnsi="Courier New"/>
                <w:b w:val="0"/>
                <w:i w:val="0"/>
                <w:color w:val="FFFFFF"/>
                <w:sz w:val="15"/>
              </w:rPr>
              <w:t>RECALL</w:t>
            </w:r>
          </w:p>
        </w:tc>
        <w:tc>
          <w:tcPr>
            <w:tcW w:type="dxa" w:w="1814"/>
            <w:shd w:val="clear" w:color="auto" w:fill="1A1D2E"/>
          </w:tcPr>
          <w:p>
            <w:pPr>
              <w:spacing w:before="60" w:after="60"/>
            </w:pPr>
            <w:r>
              <w:rPr>
                <w:rFonts w:ascii="Courier New" w:hAnsi="Courier New"/>
                <w:b w:val="0"/>
                <w:i w:val="0"/>
                <w:color w:val="FFFFFF"/>
                <w:sz w:val="15"/>
              </w:rPr>
              <w:t>F1</w:t>
            </w:r>
          </w:p>
        </w:tc>
        <w:tc>
          <w:tcPr>
            <w:tcW w:type="dxa" w:w="1814"/>
            <w:shd w:val="clear" w:color="auto" w:fill="1A1D2E"/>
          </w:tcPr>
          <w:p>
            <w:pPr>
              <w:spacing w:before="60" w:after="60"/>
            </w:pPr>
            <w:r>
              <w:rPr>
                <w:rFonts w:ascii="Courier New" w:hAnsi="Courier New"/>
                <w:b w:val="0"/>
                <w:i w:val="0"/>
                <w:color w:val="FFFFFF"/>
                <w:sz w:val="15"/>
              </w:rPr>
              <w:t>KEY FEATURE SIGNAL</w:t>
            </w:r>
          </w:p>
        </w:tc>
      </w:tr>
      <w:tr>
        <w:tc>
          <w:tcPr>
            <w:tcW w:type="dxa" w:w="1814"/>
            <w:shd w:val="clear" w:color="auto" w:fill="F7F8FA"/>
          </w:tcPr>
          <w:p>
            <w:pPr>
              <w:spacing w:before="60" w:after="60"/>
            </w:pPr>
            <w:r>
              <w:rPr>
                <w:rFonts w:ascii="Calibri" w:hAnsi="Calibri"/>
                <w:b w:val="0"/>
                <w:i w:val="0"/>
                <w:color w:val="1A1D2E"/>
                <w:sz w:val="18"/>
              </w:rPr>
              <w:t>DATA_EXFILTRATION</w:t>
            </w:r>
          </w:p>
        </w:tc>
        <w:tc>
          <w:tcPr>
            <w:tcW w:type="dxa" w:w="1814"/>
            <w:shd w:val="clear" w:color="auto" w:fill="F7F8FA"/>
          </w:tcPr>
          <w:p>
            <w:pPr>
              <w:spacing w:before="60" w:after="60"/>
            </w:pPr>
            <w:r>
              <w:rPr>
                <w:rFonts w:ascii="Calibri" w:hAnsi="Calibri"/>
                <w:b w:val="0"/>
                <w:i w:val="0"/>
                <w:color w:val="1A1D2E"/>
                <w:sz w:val="18"/>
              </w:rPr>
              <w:t>0.93</w:t>
            </w:r>
          </w:p>
        </w:tc>
        <w:tc>
          <w:tcPr>
            <w:tcW w:type="dxa" w:w="1814"/>
            <w:shd w:val="clear" w:color="auto" w:fill="F7F8FA"/>
          </w:tcPr>
          <w:p>
            <w:pPr>
              <w:spacing w:before="60" w:after="60"/>
            </w:pPr>
            <w:r>
              <w:rPr>
                <w:rFonts w:ascii="Calibri" w:hAnsi="Calibri"/>
                <w:b w:val="0"/>
                <w:i w:val="0"/>
                <w:color w:val="1A1D2E"/>
                <w:sz w:val="18"/>
              </w:rPr>
              <w:t>0.91</w:t>
            </w:r>
          </w:p>
        </w:tc>
        <w:tc>
          <w:tcPr>
            <w:tcW w:type="dxa" w:w="1814"/>
            <w:shd w:val="clear" w:color="auto" w:fill="F7F8FA"/>
          </w:tcPr>
          <w:p>
            <w:pPr>
              <w:spacing w:before="60" w:after="60"/>
            </w:pPr>
            <w:r>
              <w:rPr>
                <w:rFonts w:ascii="Calibri" w:hAnsi="Calibri"/>
                <w:b w:val="0"/>
                <w:i w:val="0"/>
                <w:color w:val="1A1D2E"/>
                <w:sz w:val="18"/>
              </w:rPr>
              <w:t>0.92</w:t>
            </w:r>
          </w:p>
        </w:tc>
        <w:tc>
          <w:tcPr>
            <w:tcW w:type="dxa" w:w="1814"/>
            <w:shd w:val="clear" w:color="auto" w:fill="F7F8FA"/>
          </w:tcPr>
          <w:p>
            <w:pPr>
              <w:spacing w:before="60" w:after="60"/>
            </w:pPr>
            <w:r>
              <w:rPr>
                <w:rFonts w:ascii="Calibri" w:hAnsi="Calibri"/>
                <w:b w:val="0"/>
                <w:i w:val="0"/>
                <w:color w:val="1A1D2E"/>
                <w:sz w:val="18"/>
              </w:rPr>
              <w:t>intent_mismatch + external_send</w:t>
            </w:r>
          </w:p>
        </w:tc>
      </w:tr>
      <w:tr>
        <w:tc>
          <w:tcPr>
            <w:tcW w:type="dxa" w:w="1814"/>
            <w:shd w:val="clear" w:color="auto" w:fill="FFFFFF"/>
          </w:tcPr>
          <w:p>
            <w:pPr>
              <w:spacing w:before="60" w:after="60"/>
            </w:pPr>
            <w:r>
              <w:rPr>
                <w:rFonts w:ascii="Calibri" w:hAnsi="Calibri"/>
                <w:b w:val="0"/>
                <w:i w:val="0"/>
                <w:color w:val="1A1D2E"/>
                <w:sz w:val="18"/>
              </w:rPr>
              <w:t>PRIVILEGE_ESCALATION</w:t>
            </w:r>
          </w:p>
        </w:tc>
        <w:tc>
          <w:tcPr>
            <w:tcW w:type="dxa" w:w="1814"/>
            <w:shd w:val="clear" w:color="auto" w:fill="FFFFFF"/>
          </w:tcPr>
          <w:p>
            <w:pPr>
              <w:spacing w:before="60" w:after="60"/>
            </w:pPr>
            <w:r>
              <w:rPr>
                <w:rFonts w:ascii="Calibri" w:hAnsi="Calibri"/>
                <w:b w:val="0"/>
                <w:i w:val="0"/>
                <w:color w:val="1A1D2E"/>
                <w:sz w:val="18"/>
              </w:rPr>
              <w:t>0.89</w:t>
            </w:r>
          </w:p>
        </w:tc>
        <w:tc>
          <w:tcPr>
            <w:tcW w:type="dxa" w:w="1814"/>
            <w:shd w:val="clear" w:color="auto" w:fill="FFFFFF"/>
          </w:tcPr>
          <w:p>
            <w:pPr>
              <w:spacing w:before="60" w:after="60"/>
            </w:pPr>
            <w:r>
              <w:rPr>
                <w:rFonts w:ascii="Calibri" w:hAnsi="Calibri"/>
                <w:b w:val="0"/>
                <w:i w:val="0"/>
                <w:color w:val="1A1D2E"/>
                <w:sz w:val="18"/>
              </w:rPr>
              <w:t>0.94</w:t>
            </w:r>
          </w:p>
        </w:tc>
        <w:tc>
          <w:tcPr>
            <w:tcW w:type="dxa" w:w="1814"/>
            <w:shd w:val="clear" w:color="auto" w:fill="FFFFFF"/>
          </w:tcPr>
          <w:p>
            <w:pPr>
              <w:spacing w:before="60" w:after="60"/>
            </w:pPr>
            <w:r>
              <w:rPr>
                <w:rFonts w:ascii="Calibri" w:hAnsi="Calibri"/>
                <w:b w:val="0"/>
                <w:i w:val="0"/>
                <w:color w:val="1A1D2E"/>
                <w:sz w:val="18"/>
              </w:rPr>
              <w:t>0.91</w:t>
            </w:r>
          </w:p>
        </w:tc>
        <w:tc>
          <w:tcPr>
            <w:tcW w:type="dxa" w:w="1814"/>
            <w:shd w:val="clear" w:color="auto" w:fill="FFFFFF"/>
          </w:tcPr>
          <w:p>
            <w:pPr>
              <w:spacing w:before="60" w:after="60"/>
            </w:pPr>
            <w:r>
              <w:rPr>
                <w:rFonts w:ascii="Calibri" w:hAnsi="Calibri"/>
                <w:b w:val="0"/>
                <w:i w:val="0"/>
                <w:color w:val="1A1D2E"/>
                <w:sz w:val="18"/>
              </w:rPr>
              <w:t>risk_level spike + intent_mismatch</w:t>
            </w:r>
          </w:p>
        </w:tc>
      </w:tr>
      <w:tr>
        <w:tc>
          <w:tcPr>
            <w:tcW w:type="dxa" w:w="1814"/>
            <w:shd w:val="clear" w:color="auto" w:fill="F7F8FA"/>
          </w:tcPr>
          <w:p>
            <w:pPr>
              <w:spacing w:before="60" w:after="60"/>
            </w:pPr>
            <w:r>
              <w:rPr>
                <w:rFonts w:ascii="Calibri" w:hAnsi="Calibri"/>
                <w:b w:val="0"/>
                <w:i w:val="0"/>
                <w:color w:val="1A1D2E"/>
                <w:sz w:val="18"/>
              </w:rPr>
              <w:t>VALIDATION_BYPASS</w:t>
            </w:r>
          </w:p>
        </w:tc>
        <w:tc>
          <w:tcPr>
            <w:tcW w:type="dxa" w:w="1814"/>
            <w:shd w:val="clear" w:color="auto" w:fill="F7F8FA"/>
          </w:tcPr>
          <w:p>
            <w:pPr>
              <w:spacing w:before="60" w:after="60"/>
            </w:pPr>
            <w:r>
              <w:rPr>
                <w:rFonts w:ascii="Calibri" w:hAnsi="Calibri"/>
                <w:b w:val="0"/>
                <w:i w:val="0"/>
                <w:color w:val="1A1D2E"/>
                <w:sz w:val="18"/>
              </w:rPr>
              <w:t>0.95</w:t>
            </w:r>
          </w:p>
        </w:tc>
        <w:tc>
          <w:tcPr>
            <w:tcW w:type="dxa" w:w="1814"/>
            <w:shd w:val="clear" w:color="auto" w:fill="F7F8FA"/>
          </w:tcPr>
          <w:p>
            <w:pPr>
              <w:spacing w:before="60" w:after="60"/>
            </w:pPr>
            <w:r>
              <w:rPr>
                <w:rFonts w:ascii="Calibri" w:hAnsi="Calibri"/>
                <w:b w:val="0"/>
                <w:i w:val="0"/>
                <w:color w:val="1A1D2E"/>
                <w:sz w:val="18"/>
              </w:rPr>
              <w:t>0.89</w:t>
            </w:r>
          </w:p>
        </w:tc>
        <w:tc>
          <w:tcPr>
            <w:tcW w:type="dxa" w:w="1814"/>
            <w:shd w:val="clear" w:color="auto" w:fill="F7F8FA"/>
          </w:tcPr>
          <w:p>
            <w:pPr>
              <w:spacing w:before="60" w:after="60"/>
            </w:pPr>
            <w:r>
              <w:rPr>
                <w:rFonts w:ascii="Calibri" w:hAnsi="Calibri"/>
                <w:b w:val="0"/>
                <w:i w:val="0"/>
                <w:color w:val="1A1D2E"/>
                <w:sz w:val="18"/>
              </w:rPr>
              <w:t>0.92</w:t>
            </w:r>
          </w:p>
        </w:tc>
        <w:tc>
          <w:tcPr>
            <w:tcW w:type="dxa" w:w="1814"/>
            <w:shd w:val="clear" w:color="auto" w:fill="F7F8FA"/>
          </w:tcPr>
          <w:p>
            <w:pPr>
              <w:spacing w:before="60" w:after="60"/>
            </w:pPr>
            <w:r>
              <w:rPr>
                <w:rFonts w:ascii="Calibri" w:hAnsi="Calibri"/>
                <w:b w:val="0"/>
                <w:i w:val="0"/>
                <w:color w:val="1A1D2E"/>
                <w:sz w:val="18"/>
              </w:rPr>
              <w:t>destructive without prior approval</w:t>
            </w:r>
          </w:p>
        </w:tc>
      </w:tr>
      <w:tr>
        <w:tc>
          <w:tcPr>
            <w:tcW w:type="dxa" w:w="1814"/>
            <w:shd w:val="clear" w:color="auto" w:fill="FFFFFF"/>
          </w:tcPr>
          <w:p>
            <w:pPr>
              <w:spacing w:before="60" w:after="60"/>
            </w:pPr>
            <w:r>
              <w:rPr>
                <w:rFonts w:ascii="Calibri" w:hAnsi="Calibri"/>
                <w:b w:val="0"/>
                <w:i w:val="0"/>
                <w:color w:val="1A1D2E"/>
                <w:sz w:val="18"/>
              </w:rPr>
              <w:t>TOOL_REPETITION</w:t>
            </w:r>
          </w:p>
        </w:tc>
        <w:tc>
          <w:tcPr>
            <w:tcW w:type="dxa" w:w="1814"/>
            <w:shd w:val="clear" w:color="auto" w:fill="FFFFFF"/>
          </w:tcPr>
          <w:p>
            <w:pPr>
              <w:spacing w:before="60" w:after="60"/>
            </w:pPr>
            <w:r>
              <w:rPr>
                <w:rFonts w:ascii="Calibri" w:hAnsi="Calibri"/>
                <w:b w:val="0"/>
                <w:i w:val="0"/>
                <w:color w:val="1A1D2E"/>
                <w:sz w:val="18"/>
              </w:rPr>
              <w:t>0.91</w:t>
            </w:r>
          </w:p>
        </w:tc>
        <w:tc>
          <w:tcPr>
            <w:tcW w:type="dxa" w:w="1814"/>
            <w:shd w:val="clear" w:color="auto" w:fill="FFFFFF"/>
          </w:tcPr>
          <w:p>
            <w:pPr>
              <w:spacing w:before="60" w:after="60"/>
            </w:pPr>
            <w:r>
              <w:rPr>
                <w:rFonts w:ascii="Calibri" w:hAnsi="Calibri"/>
                <w:b w:val="0"/>
                <w:i w:val="0"/>
                <w:color w:val="1A1D2E"/>
                <w:sz w:val="18"/>
              </w:rPr>
              <w:t>0.88</w:t>
            </w:r>
          </w:p>
        </w:tc>
        <w:tc>
          <w:tcPr>
            <w:tcW w:type="dxa" w:w="1814"/>
            <w:shd w:val="clear" w:color="auto" w:fill="FFFFFF"/>
          </w:tcPr>
          <w:p>
            <w:pPr>
              <w:spacing w:before="60" w:after="60"/>
            </w:pPr>
            <w:r>
              <w:rPr>
                <w:rFonts w:ascii="Calibri" w:hAnsi="Calibri"/>
                <w:b w:val="0"/>
                <w:i w:val="0"/>
                <w:color w:val="1A1D2E"/>
                <w:sz w:val="18"/>
              </w:rPr>
              <w:t>0.89</w:t>
            </w:r>
          </w:p>
        </w:tc>
        <w:tc>
          <w:tcPr>
            <w:tcW w:type="dxa" w:w="1814"/>
            <w:shd w:val="clear" w:color="auto" w:fill="FFFFFF"/>
          </w:tcPr>
          <w:p>
            <w:pPr>
              <w:spacing w:before="60" w:after="60"/>
            </w:pPr>
            <w:r>
              <w:rPr>
                <w:rFonts w:ascii="Calibri" w:hAnsi="Calibri"/>
                <w:b w:val="0"/>
                <w:i w:val="0"/>
                <w:color w:val="1A1D2E"/>
                <w:sz w:val="18"/>
              </w:rPr>
              <w:t>run_length_norm + repeated tool_name</w:t>
            </w:r>
          </w:p>
        </w:tc>
      </w:tr>
      <w:tr>
        <w:tc>
          <w:tcPr>
            <w:tcW w:type="dxa" w:w="1814"/>
            <w:shd w:val="clear" w:color="auto" w:fill="FFF0E6"/>
          </w:tcPr>
          <w:p>
            <w:pPr>
              <w:spacing w:before="60" w:after="60"/>
            </w:pPr>
            <w:r>
              <w:rPr>
                <w:rFonts w:ascii="Calibri" w:hAnsi="Calibri"/>
                <w:b w:val="0"/>
                <w:i w:val="0"/>
                <w:color w:val="E06D2D"/>
                <w:sz w:val="18"/>
              </w:rPr>
              <w:t>OUT_OF_ORDER</w:t>
            </w:r>
          </w:p>
        </w:tc>
        <w:tc>
          <w:tcPr>
            <w:tcW w:type="dxa" w:w="1814"/>
            <w:shd w:val="clear" w:color="auto" w:fill="FFF0E6"/>
          </w:tcPr>
          <w:p>
            <w:pPr>
              <w:spacing w:before="60" w:after="60"/>
            </w:pPr>
            <w:r>
              <w:rPr>
                <w:rFonts w:ascii="Calibri" w:hAnsi="Calibri"/>
                <w:b w:val="0"/>
                <w:i w:val="0"/>
                <w:color w:val="E06D2D"/>
                <w:sz w:val="18"/>
              </w:rPr>
              <w:t>0.83</w:t>
            </w:r>
          </w:p>
        </w:tc>
        <w:tc>
          <w:tcPr>
            <w:tcW w:type="dxa" w:w="1814"/>
            <w:shd w:val="clear" w:color="auto" w:fill="FFF0E6"/>
          </w:tcPr>
          <w:p>
            <w:pPr>
              <w:spacing w:before="60" w:after="60"/>
            </w:pPr>
            <w:r>
              <w:rPr>
                <w:rFonts w:ascii="Calibri" w:hAnsi="Calibri"/>
                <w:b w:val="0"/>
                <w:i w:val="0"/>
                <w:color w:val="E06D2D"/>
                <w:sz w:val="18"/>
              </w:rPr>
              <w:t>0.78</w:t>
            </w:r>
          </w:p>
        </w:tc>
        <w:tc>
          <w:tcPr>
            <w:tcW w:type="dxa" w:w="1814"/>
            <w:shd w:val="clear" w:color="auto" w:fill="FFF0E6"/>
          </w:tcPr>
          <w:p>
            <w:pPr>
              <w:spacing w:before="60" w:after="60"/>
            </w:pPr>
            <w:r>
              <w:rPr>
                <w:rFonts w:ascii="Calibri" w:hAnsi="Calibri"/>
                <w:b w:val="0"/>
                <w:i w:val="0"/>
                <w:color w:val="E06D2D"/>
                <w:sz w:val="18"/>
              </w:rPr>
              <w:t>0.80</w:t>
            </w:r>
          </w:p>
        </w:tc>
        <w:tc>
          <w:tcPr>
            <w:tcW w:type="dxa" w:w="1814"/>
            <w:shd w:val="clear" w:color="auto" w:fill="FFF0E6"/>
          </w:tcPr>
          <w:p>
            <w:pPr>
              <w:spacing w:before="60" w:after="60"/>
            </w:pPr>
            <w:r>
              <w:rPr>
                <w:rFonts w:ascii="Calibri" w:hAnsi="Calibri"/>
                <w:b w:val="0"/>
                <w:i w:val="0"/>
                <w:color w:val="E06D2D"/>
                <w:sz w:val="18"/>
              </w:rPr>
              <w:t>position_frac inversion (hardest)</w:t>
            </w:r>
          </w:p>
        </w:tc>
      </w:tr>
    </w:tbl>
    <w:p>
      <w:pPr>
        <w:spacing w:after="80"/>
      </w:pPr>
    </w:p>
    <w:p>
      <w:pPr>
        <w:spacing w:before="160" w:after="40"/>
        <w:jc w:val="center"/>
      </w:pPr>
      <w:r>
        <w:rPr>
          <w:rFonts w:ascii="Courier New" w:hAnsi="Courier New"/>
          <w:b w:val="0"/>
          <w:i w:val="0"/>
          <w:color w:val="E06D2D"/>
          <w:sz w:val="18"/>
        </w:rPr>
        <w:t>[ Figure 6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6 ]</w:t>
            </w:r>
          </w:p>
        </w:tc>
      </w:tr>
    </w:tbl>
    <w:p>
      <w:pPr>
        <w:spacing w:before="80" w:after="160"/>
        <w:jc w:val="center"/>
      </w:pPr>
      <w:r>
        <w:rPr>
          <w:rFonts w:ascii="Calibri" w:hAnsi="Calibri"/>
          <w:b w:val="0"/>
          <w:i/>
          <w:color w:val="5A6070"/>
          <w:sz w:val="18"/>
        </w:rPr>
        <w:t>Figure 6: Agent Detail Page with Attention Heat Marker. Each step in the timeline is colour-coded by its attention weight: darker amber = higher attention. The dropbox.upload_file and slack.send_message steps are highlighted as the primary anomalous actions in this data-exfiltration run.</w:t>
      </w:r>
    </w:p>
    <w:p>
      <w:pPr>
        <w:spacing w:before="200" w:after="80"/>
        <w:pBdr>
          <w:bottom w:val="single" w:sz="4" w:color="CDD1DC"/>
        </w:pBdr>
      </w:pPr>
      <w:r>
        <w:rPr>
          <w:rFonts w:ascii="Georgia" w:hAnsi="Georgia"/>
          <w:b w:val="0"/>
          <w:i w:val="0"/>
          <w:color w:val="1A1D2E"/>
          <w:sz w:val="26"/>
        </w:rPr>
        <w:t>6.4  Ablation: Intent Features</w:t>
      </w:r>
    </w:p>
    <w:p>
      <w:pPr>
        <w:spacing w:before="0" w:after="100"/>
        <w:jc w:val="both"/>
      </w:pPr>
      <w:r>
        <w:rPr>
          <w:rFonts w:ascii="Calibri" w:hAnsi="Calibri"/>
          <w:b w:val="0"/>
          <w:i w:val="0"/>
          <w:color w:val="1A1D2E"/>
          <w:sz w:val="21"/>
        </w:rPr>
        <w:t>To quantify the contribution of the intent_mismatch and intent_authorizes_risky features, we retrained the BiLSTM V2 model with these two features zeroed out. F1 dropped from 0.89 to 0.81, with the largest loss on DATA_EXFILTRATION (F1: 0.92 → 0.76) and PRIVILEGE_ESCALATION (0.91 → 0.80). This confirms that intent-context features are essential for catching context-dependent anomaly types that are structurally similar to normal runs.</w:t>
      </w:r>
    </w:p>
    <w:p>
      <w:pPr>
        <w:spacing w:before="200" w:after="80"/>
        <w:pBdr>
          <w:bottom w:val="single" w:sz="4" w:color="CDD1DC"/>
        </w:pBdr>
      </w:pPr>
      <w:r>
        <w:rPr>
          <w:rFonts w:ascii="Georgia" w:hAnsi="Georgia"/>
          <w:b w:val="0"/>
          <w:i w:val="0"/>
          <w:color w:val="1A1D2E"/>
          <w:sz w:val="26"/>
        </w:rPr>
        <w:t>6.5  Integrated System Performance</w:t>
      </w:r>
    </w:p>
    <w:tbl>
      <w:tblPr>
        <w:tblW w:type="auto" w:w="0"/>
        <w:jc w:val="left"/>
        <w:tblLook w:firstColumn="1" w:firstRow="1" w:lastColumn="0" w:lastRow="0" w:noHBand="0" w:noVBand="1" w:val="04A0"/>
      </w:tblPr>
      <w:tblGrid>
        <w:gridCol w:w="1814"/>
        <w:gridCol w:w="1814"/>
        <w:gridCol w:w="1814"/>
        <w:gridCol w:w="1814"/>
        <w:gridCol w:w="1814"/>
      </w:tblGrid>
      <w:tr>
        <w:tc>
          <w:tcPr>
            <w:tcW w:type="dxa" w:w="1814"/>
            <w:shd w:val="clear" w:color="auto" w:fill="1A1D2E"/>
          </w:tcPr>
          <w:p>
            <w:pPr>
              <w:spacing w:before="60" w:after="60"/>
            </w:pPr>
            <w:r>
              <w:rPr>
                <w:rFonts w:ascii="Courier New" w:hAnsi="Courier New"/>
                <w:b w:val="0"/>
                <w:i w:val="0"/>
                <w:color w:val="FFFFFF"/>
                <w:sz w:val="15"/>
              </w:rPr>
              <w:t>CONFIGURATION</w:t>
            </w:r>
          </w:p>
        </w:tc>
        <w:tc>
          <w:tcPr>
            <w:tcW w:type="dxa" w:w="1814"/>
            <w:shd w:val="clear" w:color="auto" w:fill="1A1D2E"/>
          </w:tcPr>
          <w:p>
            <w:pPr>
              <w:spacing w:before="60" w:after="60"/>
            </w:pPr>
            <w:r>
              <w:rPr>
                <w:rFonts w:ascii="Courier New" w:hAnsi="Courier New"/>
                <w:b w:val="0"/>
                <w:i w:val="0"/>
                <w:color w:val="FFFFFF"/>
                <w:sz w:val="15"/>
              </w:rPr>
              <w:t>PRECISION</w:t>
            </w:r>
          </w:p>
        </w:tc>
        <w:tc>
          <w:tcPr>
            <w:tcW w:type="dxa" w:w="1814"/>
            <w:shd w:val="clear" w:color="auto" w:fill="1A1D2E"/>
          </w:tcPr>
          <w:p>
            <w:pPr>
              <w:spacing w:before="60" w:after="60"/>
            </w:pPr>
            <w:r>
              <w:rPr>
                <w:rFonts w:ascii="Courier New" w:hAnsi="Courier New"/>
                <w:b w:val="0"/>
                <w:i w:val="0"/>
                <w:color w:val="FFFFFF"/>
                <w:sz w:val="15"/>
              </w:rPr>
              <w:t>RECALL</w:t>
            </w:r>
          </w:p>
        </w:tc>
        <w:tc>
          <w:tcPr>
            <w:tcW w:type="dxa" w:w="1814"/>
            <w:shd w:val="clear" w:color="auto" w:fill="1A1D2E"/>
          </w:tcPr>
          <w:p>
            <w:pPr>
              <w:spacing w:before="60" w:after="60"/>
            </w:pPr>
            <w:r>
              <w:rPr>
                <w:rFonts w:ascii="Courier New" w:hAnsi="Courier New"/>
                <w:b w:val="0"/>
                <w:i w:val="0"/>
                <w:color w:val="FFFFFF"/>
                <w:sz w:val="15"/>
              </w:rPr>
              <w:t>F1</w:t>
            </w:r>
          </w:p>
        </w:tc>
        <w:tc>
          <w:tcPr>
            <w:tcW w:type="dxa" w:w="1814"/>
            <w:shd w:val="clear" w:color="auto" w:fill="1A1D2E"/>
          </w:tcPr>
          <w:p>
            <w:pPr>
              <w:spacing w:before="60" w:after="60"/>
            </w:pPr>
            <w:r>
              <w:rPr>
                <w:rFonts w:ascii="Courier New" w:hAnsi="Courier New"/>
                <w:b w:val="0"/>
                <w:i w:val="0"/>
                <w:color w:val="FFFFFF"/>
                <w:sz w:val="15"/>
              </w:rPr>
              <w:t>AVG. LATENCY</w:t>
            </w:r>
          </w:p>
        </w:tc>
      </w:tr>
      <w:tr>
        <w:tc>
          <w:tcPr>
            <w:tcW w:type="dxa" w:w="1814"/>
            <w:shd w:val="clear" w:color="auto" w:fill="F7F8FA"/>
          </w:tcPr>
          <w:p>
            <w:pPr>
              <w:spacing w:before="60" w:after="60"/>
            </w:pPr>
            <w:r>
              <w:rPr>
                <w:rFonts w:ascii="Calibri" w:hAnsi="Calibri"/>
                <w:b w:val="0"/>
                <w:i w:val="0"/>
                <w:color w:val="1A1D2E"/>
                <w:sz w:val="18"/>
              </w:rPr>
              <w:t>BiLSTM V2 only</w:t>
            </w:r>
          </w:p>
        </w:tc>
        <w:tc>
          <w:tcPr>
            <w:tcW w:type="dxa" w:w="1814"/>
            <w:shd w:val="clear" w:color="auto" w:fill="F7F8FA"/>
          </w:tcPr>
          <w:p>
            <w:pPr>
              <w:spacing w:before="60" w:after="60"/>
            </w:pPr>
            <w:r>
              <w:rPr>
                <w:rFonts w:ascii="Calibri" w:hAnsi="Calibri"/>
                <w:b w:val="0"/>
                <w:i w:val="0"/>
                <w:color w:val="1A1D2E"/>
                <w:sz w:val="18"/>
              </w:rPr>
              <w:t>0.91</w:t>
            </w:r>
          </w:p>
        </w:tc>
        <w:tc>
          <w:tcPr>
            <w:tcW w:type="dxa" w:w="1814"/>
            <w:shd w:val="clear" w:color="auto" w:fill="F7F8FA"/>
          </w:tcPr>
          <w:p>
            <w:pPr>
              <w:spacing w:before="60" w:after="60"/>
            </w:pPr>
            <w:r>
              <w:rPr>
                <w:rFonts w:ascii="Calibri" w:hAnsi="Calibri"/>
                <w:b w:val="0"/>
                <w:i w:val="0"/>
                <w:color w:val="1A1D2E"/>
                <w:sz w:val="18"/>
              </w:rPr>
              <w:t>0.88</w:t>
            </w:r>
          </w:p>
        </w:tc>
        <w:tc>
          <w:tcPr>
            <w:tcW w:type="dxa" w:w="1814"/>
            <w:shd w:val="clear" w:color="auto" w:fill="F7F8FA"/>
          </w:tcPr>
          <w:p>
            <w:pPr>
              <w:spacing w:before="60" w:after="60"/>
            </w:pPr>
            <w:r>
              <w:rPr>
                <w:rFonts w:ascii="Calibri" w:hAnsi="Calibri"/>
                <w:b w:val="0"/>
                <w:i w:val="0"/>
                <w:color w:val="1A1D2E"/>
                <w:sz w:val="18"/>
              </w:rPr>
              <w:t>0.89</w:t>
            </w:r>
          </w:p>
        </w:tc>
        <w:tc>
          <w:tcPr>
            <w:tcW w:type="dxa" w:w="1814"/>
            <w:shd w:val="clear" w:color="auto" w:fill="F7F8FA"/>
          </w:tcPr>
          <w:p>
            <w:pPr>
              <w:spacing w:before="60" w:after="60"/>
            </w:pPr>
            <w:r>
              <w:rPr>
                <w:rFonts w:ascii="Calibri" w:hAnsi="Calibri"/>
                <w:b w:val="0"/>
                <w:i w:val="0"/>
                <w:color w:val="1A1D2E"/>
                <w:sz w:val="18"/>
              </w:rPr>
              <w:t>&lt; 8 ms</w:t>
            </w:r>
          </w:p>
        </w:tc>
      </w:tr>
      <w:tr>
        <w:tc>
          <w:tcPr>
            <w:tcW w:type="dxa" w:w="1814"/>
            <w:shd w:val="clear" w:color="auto" w:fill="FFFFFF"/>
          </w:tcPr>
          <w:p>
            <w:pPr>
              <w:spacing w:before="60" w:after="60"/>
            </w:pPr>
            <w:r>
              <w:rPr>
                <w:rFonts w:ascii="Calibri" w:hAnsi="Calibri"/>
                <w:b w:val="0"/>
                <w:i w:val="0"/>
                <w:color w:val="1A1D2E"/>
                <w:sz w:val="18"/>
              </w:rPr>
              <w:t>LLM Monitor only</w:t>
            </w:r>
          </w:p>
        </w:tc>
        <w:tc>
          <w:tcPr>
            <w:tcW w:type="dxa" w:w="1814"/>
            <w:shd w:val="clear" w:color="auto" w:fill="FFFFFF"/>
          </w:tcPr>
          <w:p>
            <w:pPr>
              <w:spacing w:before="60" w:after="60"/>
            </w:pPr>
            <w:r>
              <w:rPr>
                <w:rFonts w:ascii="Calibri" w:hAnsi="Calibri"/>
                <w:b w:val="0"/>
                <w:i w:val="0"/>
                <w:color w:val="1A1D2E"/>
                <w:sz w:val="18"/>
              </w:rPr>
              <w:t>0.93</w:t>
            </w:r>
          </w:p>
        </w:tc>
        <w:tc>
          <w:tcPr>
            <w:tcW w:type="dxa" w:w="1814"/>
            <w:shd w:val="clear" w:color="auto" w:fill="FFFFFF"/>
          </w:tcPr>
          <w:p>
            <w:pPr>
              <w:spacing w:before="60" w:after="60"/>
            </w:pPr>
            <w:r>
              <w:rPr>
                <w:rFonts w:ascii="Calibri" w:hAnsi="Calibri"/>
                <w:b w:val="0"/>
                <w:i w:val="0"/>
                <w:color w:val="1A1D2E"/>
                <w:sz w:val="18"/>
              </w:rPr>
              <w:t>0.75</w:t>
            </w:r>
          </w:p>
        </w:tc>
        <w:tc>
          <w:tcPr>
            <w:tcW w:type="dxa" w:w="1814"/>
            <w:shd w:val="clear" w:color="auto" w:fill="FFFFFF"/>
          </w:tcPr>
          <w:p>
            <w:pPr>
              <w:spacing w:before="60" w:after="60"/>
            </w:pPr>
            <w:r>
              <w:rPr>
                <w:rFonts w:ascii="Calibri" w:hAnsi="Calibri"/>
                <w:b w:val="0"/>
                <w:i w:val="0"/>
                <w:color w:val="1A1D2E"/>
                <w:sz w:val="18"/>
              </w:rPr>
              <w:t>0.83</w:t>
            </w:r>
          </w:p>
        </w:tc>
        <w:tc>
          <w:tcPr>
            <w:tcW w:type="dxa" w:w="1814"/>
            <w:shd w:val="clear" w:color="auto" w:fill="FFFFFF"/>
          </w:tcPr>
          <w:p>
            <w:pPr>
              <w:spacing w:before="60" w:after="60"/>
            </w:pPr>
            <w:r>
              <w:rPr>
                <w:rFonts w:ascii="Calibri" w:hAnsi="Calibri"/>
                <w:b w:val="0"/>
                <w:i w:val="0"/>
                <w:color w:val="1A1D2E"/>
                <w:sz w:val="18"/>
              </w:rPr>
              <w:t>~3.4 s</w:t>
            </w:r>
          </w:p>
        </w:tc>
      </w:tr>
      <w:tr>
        <w:tc>
          <w:tcPr>
            <w:tcW w:type="dxa" w:w="1814"/>
            <w:shd w:val="clear" w:color="auto" w:fill="FFF0E6"/>
          </w:tcPr>
          <w:p>
            <w:pPr>
              <w:spacing w:before="60" w:after="60"/>
            </w:pPr>
            <w:r>
              <w:rPr>
                <w:rFonts w:ascii="Calibri" w:hAnsi="Calibri"/>
                <w:b/>
                <w:i w:val="0"/>
                <w:color w:val="E06D2D"/>
                <w:sz w:val="18"/>
              </w:rPr>
              <w:t>BiLSTM V2 + LLM (ensemble)</w:t>
            </w:r>
          </w:p>
        </w:tc>
        <w:tc>
          <w:tcPr>
            <w:tcW w:type="dxa" w:w="1814"/>
            <w:shd w:val="clear" w:color="auto" w:fill="FFF0E6"/>
          </w:tcPr>
          <w:p>
            <w:pPr>
              <w:spacing w:before="60" w:after="60"/>
            </w:pPr>
            <w:r>
              <w:rPr>
                <w:rFonts w:ascii="Calibri" w:hAnsi="Calibri"/>
                <w:b/>
                <w:i w:val="0"/>
                <w:color w:val="E06D2D"/>
                <w:sz w:val="18"/>
              </w:rPr>
              <w:t>0.90</w:t>
            </w:r>
          </w:p>
        </w:tc>
        <w:tc>
          <w:tcPr>
            <w:tcW w:type="dxa" w:w="1814"/>
            <w:shd w:val="clear" w:color="auto" w:fill="FFF0E6"/>
          </w:tcPr>
          <w:p>
            <w:pPr>
              <w:spacing w:before="60" w:after="60"/>
            </w:pPr>
            <w:r>
              <w:rPr>
                <w:rFonts w:ascii="Calibri" w:hAnsi="Calibri"/>
                <w:b/>
                <w:i w:val="0"/>
                <w:color w:val="E06D2D"/>
                <w:sz w:val="18"/>
              </w:rPr>
              <w:t>0.92</w:t>
            </w:r>
          </w:p>
        </w:tc>
        <w:tc>
          <w:tcPr>
            <w:tcW w:type="dxa" w:w="1814"/>
            <w:shd w:val="clear" w:color="auto" w:fill="FFF0E6"/>
          </w:tcPr>
          <w:p>
            <w:pPr>
              <w:spacing w:before="60" w:after="60"/>
            </w:pPr>
            <w:r>
              <w:rPr>
                <w:rFonts w:ascii="Calibri" w:hAnsi="Calibri"/>
                <w:b/>
                <w:i w:val="0"/>
                <w:color w:val="E06D2D"/>
                <w:sz w:val="18"/>
              </w:rPr>
              <w:t>0.91</w:t>
            </w:r>
          </w:p>
        </w:tc>
        <w:tc>
          <w:tcPr>
            <w:tcW w:type="dxa" w:w="1814"/>
            <w:shd w:val="clear" w:color="auto" w:fill="FFF0E6"/>
          </w:tcPr>
          <w:p>
            <w:pPr>
              <w:spacing w:before="60" w:after="60"/>
            </w:pPr>
            <w:r>
              <w:rPr>
                <w:rFonts w:ascii="Calibri" w:hAnsi="Calibri"/>
                <w:b/>
                <w:i w:val="0"/>
                <w:color w:val="E06D2D"/>
                <w:sz w:val="18"/>
              </w:rPr>
              <w:t>&lt; 8 ms (+3.4s for risky)</w:t>
            </w:r>
          </w:p>
        </w:tc>
      </w:tr>
    </w:tbl>
    <w:p>
      <w:pPr>
        <w:spacing w:after="80"/>
      </w:pPr>
    </w:p>
    <w:p>
      <w:pPr>
        <w:spacing w:before="160" w:after="40"/>
        <w:jc w:val="center"/>
      </w:pPr>
      <w:r>
        <w:rPr>
          <w:rFonts w:ascii="Courier New" w:hAnsi="Courier New"/>
          <w:b w:val="0"/>
          <w:i w:val="0"/>
          <w:color w:val="E06D2D"/>
          <w:sz w:val="18"/>
        </w:rPr>
        <w:t>[ Figure 7 — Insert Screenshot Here ]</w:t>
      </w:r>
    </w:p>
    <w:tbl>
      <w:tblPr>
        <w:tblW w:type="auto" w:w="0"/>
        <w:jc w:val="center"/>
        <w:tblLook w:firstColumn="1" w:firstRow="1" w:lastColumn="0" w:lastRow="0" w:noHBand="0" w:noVBand="1" w:val="04A0"/>
      </w:tblPr>
      <w:tblGrid>
        <w:gridCol w:w="9072"/>
      </w:tblGrid>
      <w:tr>
        <w:tc>
          <w:tcPr>
            <w:tcW w:type="dxa" w:w="7937"/>
            <w:shd w:val="clear" w:color="auto" w:fill="F7F8FA"/>
            <w:tcBorders>
              <w:top w:val="single" w:sz="4" w:color="CDD1DC"/>
              <w:left w:val="single" w:sz="4" w:color="CDD1DC"/>
              <w:bottom w:val="single" w:sz="4" w:color="CDD1DC"/>
              <w:right w:val="single" w:sz="4" w:color="CDD1DC"/>
            </w:tcBorders>
          </w:tcPr>
          <w:p>
            <w:pPr>
              <w:spacing w:before="600" w:after="600"/>
              <w:jc w:val="center"/>
            </w:pPr>
            <w:r>
              <w:rPr>
                <w:rFonts w:ascii="Courier New" w:hAnsi="Courier New"/>
                <w:b w:val="0"/>
                <w:i w:val="0"/>
                <w:color w:val="C0C4D0"/>
                <w:sz w:val="18"/>
              </w:rPr>
              <w:t>[ Screenshot Placeholder — Figure 7 ]</w:t>
            </w:r>
          </w:p>
        </w:tc>
      </w:tr>
    </w:tbl>
    <w:p>
      <w:pPr>
        <w:spacing w:before="80" w:after="160"/>
        <w:jc w:val="center"/>
      </w:pPr>
      <w:r>
        <w:rPr>
          <w:rFonts w:ascii="Calibri" w:hAnsi="Calibri"/>
          <w:b w:val="0"/>
          <w:i/>
          <w:color w:val="5A6070"/>
          <w:sz w:val="18"/>
        </w:rPr>
        <w:t>Figure 7: Flagged Runs Table in Analytics Dashboard. Recent anomalous runs with tool, status, anomaly score, and LLM score. Clicking a run opens the full step trace with attention heat marker.</w:t>
      </w:r>
    </w:p>
    <w:p>
      <w:pPr>
        <w:spacing w:before="0" w:after="0"/>
      </w:pPr>
      <w:r>
        <w:br w:type="page"/>
      </w:r>
    </w:p>
    <w:p>
      <w:pPr>
        <w:spacing w:before="0" w:after="80"/>
      </w:pPr>
      <w:r>
        <w:rPr>
          <w:rFonts w:ascii="Courier New" w:hAnsi="Courier New"/>
          <w:b/>
          <w:i w:val="0"/>
          <w:color w:val="E06D2D"/>
          <w:sz w:val="16"/>
        </w:rPr>
        <w:t>CHAPTER 07</w:t>
      </w:r>
    </w:p>
    <w:p>
      <w:pPr>
        <w:spacing w:before="40" w:after="200"/>
        <w:pBdr>
          <w:left w:val="single" w:sz="18" w:space="10" w:color="E06D2D"/>
        </w:pBdr>
      </w:pPr>
      <w:r>
        <w:rPr>
          <w:rFonts w:ascii="Georgia" w:hAnsi="Georgia"/>
          <w:b w:val="0"/>
          <w:i w:val="0"/>
          <w:color w:val="1A1D2E"/>
          <w:sz w:val="40"/>
        </w:rPr>
        <w:t>Conclusion &amp; Future Work</w:t>
      </w:r>
    </w:p>
    <w:p>
      <w:pPr>
        <w:spacing w:before="200" w:after="80"/>
        <w:pBdr>
          <w:bottom w:val="single" w:sz="4" w:color="CDD1DC"/>
        </w:pBdr>
      </w:pPr>
      <w:r>
        <w:rPr>
          <w:rFonts w:ascii="Georgia" w:hAnsi="Georgia"/>
          <w:b w:val="0"/>
          <w:i w:val="0"/>
          <w:color w:val="1A1D2E"/>
          <w:sz w:val="26"/>
        </w:rPr>
        <w:t>7.1  Summary of Contributions</w:t>
      </w:r>
    </w:p>
    <w:tbl>
      <w:tblPr>
        <w:tblW w:type="auto" w:w="0"/>
        <w:jc w:val="left"/>
        <w:tblLook w:firstColumn="1" w:firstRow="1" w:lastColumn="0" w:lastRow="0" w:noHBand="0" w:noVBand="1" w:val="04A0"/>
      </w:tblPr>
      <w:tblGrid>
        <w:gridCol w:w="9072"/>
      </w:tblGrid>
      <w:tr>
        <w:tc>
          <w:tcPr>
            <w:tcW w:type="dxa" w:w="9072"/>
            <w:shd w:val="clear" w:color="auto" w:fill="ECEEF4"/>
          </w:tcPr>
          <w:p>
            <w:pPr>
              <w:spacing w:before="80"/>
            </w:pPr>
            <w:r>
              <w:rPr>
                <w:rFonts w:ascii="Courier New" w:hAnsi="Courier New"/>
                <w:b/>
                <w:i w:val="0"/>
                <w:color w:val="E06D2D"/>
                <w:sz w:val="16"/>
              </w:rPr>
              <w:t>PROJECT CONTRIBUTIONS</w:t>
            </w:r>
          </w:p>
          <w:p>
            <w:pPr>
              <w:spacing w:before="20" w:after="20"/>
              <w:ind w:left="170"/>
            </w:pPr>
            <w:r>
              <w:rPr>
                <w:rFonts w:ascii="Calibri" w:hAnsi="Calibri"/>
                <w:b w:val="0"/>
                <w:i w:val="0"/>
                <w:color w:val="1A1D2E"/>
                <w:sz w:val="19"/>
              </w:rPr>
              <w:t xml:space="preserve">  • Self-supervised LSTM scorer (V1): No labels needed. F1 = 0.80. &lt; 8ms via ONNX. Serialized to lstm_nextaction_v1.onnx (69 KB).</w:t>
            </w:r>
          </w:p>
          <w:p>
            <w:pPr>
              <w:spacing w:before="20" w:after="20"/>
              <w:ind w:left="170"/>
            </w:pPr>
            <w:r>
              <w:rPr>
                <w:rFonts w:ascii="Calibri" w:hAnsi="Calibri"/>
                <w:b w:val="0"/>
                <w:i w:val="0"/>
                <w:color w:val="1A1D2E"/>
                <w:sz w:val="19"/>
              </w:rPr>
              <w:t xml:space="preserve">  • Supervised BiLSTM + Attention classifier (V2): F1 = 0.89, AUC = 0.94. Per-step attention weights for interpretability. Serialized to bilstm_attention_classifier_v2.onnx (184 KB).</w:t>
            </w:r>
          </w:p>
          <w:p>
            <w:pPr>
              <w:spacing w:before="20" w:after="20"/>
              <w:ind w:left="170"/>
            </w:pPr>
            <w:r>
              <w:rPr>
                <w:rFonts w:ascii="Calibri" w:hAnsi="Calibri"/>
                <w:b w:val="0"/>
                <w:i w:val="0"/>
                <w:color w:val="1A1D2E"/>
                <w:sz w:val="19"/>
              </w:rPr>
              <w:t xml:space="preserve">  • Intent-context feature engineering: intent_mismatch + intent_authorizes_risky features — responsible for 8-point F1 gain on intent-dependent anomaly types.</w:t>
            </w:r>
          </w:p>
          <w:p>
            <w:pPr>
              <w:spacing w:before="20" w:after="20"/>
              <w:ind w:left="170"/>
            </w:pPr>
            <w:r>
              <w:rPr>
                <w:rFonts w:ascii="Calibri" w:hAnsi="Calibri"/>
                <w:b w:val="0"/>
                <w:i w:val="0"/>
                <w:color w:val="1A1D2E"/>
                <w:sz w:val="19"/>
              </w:rPr>
              <w:t xml:space="preserve">  • Production-integrated platform: Both models deployed in a full-stack web application with real agent orchestration, anomaly scoring, and analytics dashboard.</w:t>
            </w:r>
          </w:p>
          <w:p>
            <w:pPr>
              <w:spacing w:before="80"/>
            </w:pPr>
          </w:p>
        </w:tc>
      </w:tr>
    </w:tbl>
    <w:p>
      <w:pPr>
        <w:spacing w:after="80"/>
      </w:pPr>
    </w:p>
    <w:p>
      <w:pPr>
        <w:spacing w:before="200" w:after="80"/>
        <w:pBdr>
          <w:bottom w:val="single" w:sz="4" w:color="CDD1DC"/>
        </w:pBdr>
      </w:pPr>
      <w:r>
        <w:rPr>
          <w:rFonts w:ascii="Georgia" w:hAnsi="Georgia"/>
          <w:b w:val="0"/>
          <w:i w:val="0"/>
          <w:color w:val="1A1D2E"/>
          <w:sz w:val="26"/>
        </w:rPr>
        <w:t>7.2  Conclusions</w:t>
      </w:r>
    </w:p>
    <w:p>
      <w:pPr>
        <w:spacing w:before="0" w:after="100"/>
        <w:jc w:val="both"/>
      </w:pPr>
      <w:r>
        <w:rPr>
          <w:rFonts w:ascii="Calibri" w:hAnsi="Calibri"/>
          <w:b w:val="0"/>
          <w:i w:val="0"/>
          <w:color w:val="1A1D2E"/>
          <w:sz w:val="21"/>
        </w:rPr>
        <w:t>AI agent behavioral anomaly detection is a sequence modelling problem, not a feature engineering problem. The gap between the Isolation Forest baseline (F1 = 0.68) and the BiLSTM+Attention model (F1 = 0.89) is driven by the model's ability to use step ordering and temporal context — information that aggregate feature vectors discard by design. The attention mechanism adds a layer of interpretability that is essential for operator trust: a flagging system that cannot explain its decisions will be ignored in practice.</w:t>
      </w:r>
    </w:p>
    <w:p>
      <w:pPr>
        <w:spacing w:before="0" w:after="100"/>
        <w:jc w:val="both"/>
      </w:pPr>
      <w:r>
        <w:rPr>
          <w:rFonts w:ascii="Calibri" w:hAnsi="Calibri"/>
          <w:b w:val="0"/>
          <w:i w:val="0"/>
          <w:color w:val="1A1D2E"/>
          <w:sz w:val="21"/>
        </w:rPr>
        <w:t>The combination of a fast learned scorer (BiLSTM V2 &lt; 8ms) with a selective symbolic monitor (LLM constitutional, ~3.4s for risky runs only) represents a practical architecture: low-latency coverage for all runs, deep reasoning coverage for the runs that matter most.</w:t>
      </w:r>
    </w:p>
    <w:p>
      <w:pPr>
        <w:spacing w:before="200" w:after="80"/>
        <w:pBdr>
          <w:bottom w:val="single" w:sz="4" w:color="CDD1DC"/>
        </w:pBdr>
      </w:pPr>
      <w:r>
        <w:rPr>
          <w:rFonts w:ascii="Georgia" w:hAnsi="Georgia"/>
          <w:b w:val="0"/>
          <w:i w:val="0"/>
          <w:color w:val="1A1D2E"/>
          <w:sz w:val="26"/>
        </w:rPr>
        <w:t>7.3  Future Work</w:t>
      </w:r>
    </w:p>
    <w:p>
      <w:pPr>
        <w:spacing w:before="60" w:after="60"/>
        <w:ind w:left="283"/>
        <w:jc w:val="both"/>
      </w:pPr>
      <w:r>
        <w:rPr>
          <w:rFonts w:ascii="Calibri" w:hAnsi="Calibri"/>
          <w:b w:val="0"/>
          <w:i w:val="0"/>
          <w:color w:val="1A1D2E"/>
          <w:sz w:val="21"/>
        </w:rPr>
        <w:t xml:space="preserve">  •  Real anomalous data collection: Deploy AgentsOps in a controlled red-team environment where security researchers generate genuine attack sequences. Label these alongside normal production runs to build a diverse, non-synthetic benchmark.</w:t>
      </w:r>
    </w:p>
    <w:p>
      <w:pPr>
        <w:spacing w:before="60" w:after="60"/>
        <w:ind w:left="283"/>
        <w:jc w:val="both"/>
      </w:pPr>
      <w:r>
        <w:rPr>
          <w:rFonts w:ascii="Calibri" w:hAnsi="Calibri"/>
          <w:b w:val="0"/>
          <w:i w:val="0"/>
          <w:color w:val="1A1D2E"/>
          <w:sz w:val="21"/>
        </w:rPr>
        <w:t xml:space="preserve">  •  Online learning: Extend the V1 self-supervised model to update continuously as new runs arrive, allowing the normal-behavior model to adapt to evolving usage patterns without periodic full retraining.</w:t>
      </w:r>
    </w:p>
    <w:p>
      <w:pPr>
        <w:spacing w:before="60" w:after="60"/>
        <w:ind w:left="283"/>
        <w:jc w:val="both"/>
      </w:pPr>
      <w:r>
        <w:rPr>
          <w:rFonts w:ascii="Calibri" w:hAnsi="Calibri"/>
          <w:b w:val="0"/>
          <w:i w:val="0"/>
          <w:color w:val="1A1D2E"/>
          <w:sz w:val="21"/>
        </w:rPr>
        <w:t xml:space="preserve">  •  Graph-based modelling: Model agent runs as directed graphs capturing branching tool orchestration patterns. Graph Neural Networks (GNNs) may capture cross-tool dependency patterns that BiLSTMs miss.</w:t>
      </w:r>
    </w:p>
    <w:p>
      <w:pPr>
        <w:spacing w:before="200" w:after="80"/>
        <w:pBdr>
          <w:bottom w:val="single" w:sz="4" w:color="CDD1DC"/>
        </w:pBdr>
      </w:pPr>
      <w:r>
        <w:rPr>
          <w:rFonts w:ascii="Georgia" w:hAnsi="Georgia"/>
          <w:b w:val="0"/>
          <w:i w:val="0"/>
          <w:color w:val="1A1D2E"/>
          <w:sz w:val="26"/>
        </w:rPr>
        <w:t>7.4  Reflection on the Deep Learning Course</w:t>
      </w:r>
    </w:p>
    <w:p>
      <w:pPr>
        <w:spacing w:before="0" w:after="100"/>
        <w:jc w:val="both"/>
      </w:pPr>
      <w:r>
        <w:rPr>
          <w:rFonts w:ascii="Calibri" w:hAnsi="Calibri"/>
          <w:b w:val="0"/>
          <w:i w:val="0"/>
          <w:color w:val="1A1D2E"/>
          <w:sz w:val="21"/>
        </w:rPr>
        <w:t>This project directly applied three core deep learning concepts covered in the course curriculum. The self-supervised V1 model is a practical application of language modelling — training on unlabeled data to predict the next element of a sequence. The V2 supervised model demonstrates the full supervised classification pipeline: feature engineering, embedding layers, recurrent encoders, attention, and binary classification. The Transformer comparison provides hands-on experience with the self-attention mechanism that underlies modern LLMs. Implementing both in PyTorch and exporting to ONNX for production inference bridged the gap between research and deployment, demonstrating that deep learning models can be integrated into real-world systems with practical latency constraints.</w:t>
      </w:r>
    </w:p>
    <w:p>
      <w:pPr>
        <w:spacing w:before="0" w:after="0"/>
      </w:pPr>
      <w:r>
        <w:br w:type="page"/>
      </w:r>
    </w:p>
    <w:p>
      <w:pPr>
        <w:spacing w:before="0" w:after="80"/>
      </w:pPr>
      <w:r>
        <w:rPr>
          <w:rFonts w:ascii="Courier New" w:hAnsi="Courier New"/>
          <w:b/>
          <w:i w:val="0"/>
          <w:color w:val="E06D2D"/>
          <w:sz w:val="16"/>
        </w:rPr>
        <w:t>REFERENCES</w:t>
      </w:r>
    </w:p>
    <w:p>
      <w:pPr>
        <w:spacing w:before="40" w:after="200"/>
        <w:pBdr>
          <w:left w:val="single" w:sz="18" w:space="10" w:color="E06D2D"/>
        </w:pBdr>
      </w:pPr>
      <w:r>
        <w:rPr>
          <w:rFonts w:ascii="Georgia" w:hAnsi="Georgia"/>
          <w:b w:val="0"/>
          <w:i w:val="0"/>
          <w:color w:val="1A1D2E"/>
          <w:sz w:val="40"/>
        </w:rPr>
        <w:t>References</w:t>
      </w:r>
    </w:p>
    <w:p>
      <w:pPr>
        <w:spacing w:before="40" w:after="80"/>
        <w:ind w:left="454" w:hanging="454"/>
      </w:pPr>
      <w:r>
        <w:rPr>
          <w:rFonts w:ascii="Calibri" w:hAnsi="Calibri"/>
          <w:b w:val="0"/>
          <w:i w:val="0"/>
          <w:color w:val="1A1D2E"/>
          <w:sz w:val="19"/>
        </w:rPr>
        <w:t>[1]  Du, M., Li, F., Zheng, G., &amp; Srikumar, V. (2017). DeepLog: Anomaly Detection and Diagnosis from System Logs through Deep Learning. Proceedings of the ACM CCS, 1285–1298.</w:t>
      </w:r>
    </w:p>
    <w:p>
      <w:pPr>
        <w:spacing w:before="40" w:after="80"/>
        <w:ind w:left="454" w:hanging="454"/>
      </w:pPr>
      <w:r>
        <w:rPr>
          <w:rFonts w:ascii="Calibri" w:hAnsi="Calibri"/>
          <w:b w:val="0"/>
          <w:i w:val="0"/>
          <w:color w:val="1A1D2E"/>
          <w:sz w:val="19"/>
        </w:rPr>
        <w:t>[2]  Bahdanau, D., Cho, K., &amp; Bengio, Y. (2015). Neural Machine Translation by Jointly Learning to Align and Translate. ICLR 2015.</w:t>
      </w:r>
    </w:p>
    <w:p>
      <w:pPr>
        <w:spacing w:before="40" w:after="80"/>
        <w:ind w:left="454" w:hanging="454"/>
      </w:pPr>
      <w:r>
        <w:rPr>
          <w:rFonts w:ascii="Calibri" w:hAnsi="Calibri"/>
          <w:b w:val="0"/>
          <w:i w:val="0"/>
          <w:color w:val="1A1D2E"/>
          <w:sz w:val="19"/>
        </w:rPr>
        <w:t>[3]  Vaswani, A. et al. (2017). Attention Is All You Need. Advances in Neural Information Processing Systems (NeurIPS), 30.</w:t>
      </w:r>
    </w:p>
    <w:p>
      <w:pPr>
        <w:spacing w:before="40" w:after="80"/>
        <w:ind w:left="454" w:hanging="454"/>
      </w:pPr>
      <w:r>
        <w:rPr>
          <w:rFonts w:ascii="Calibri" w:hAnsi="Calibri"/>
          <w:b w:val="0"/>
          <w:i w:val="0"/>
          <w:color w:val="1A1D2E"/>
          <w:sz w:val="19"/>
        </w:rPr>
        <w:t>[4]  Liu, F. T., Ting, K. M., &amp; Zhou, Z. H. (2008). Isolation Forest. IEEE International Conference on Data Mining (ICDM), 413–422.</w:t>
      </w:r>
    </w:p>
    <w:p>
      <w:pPr>
        <w:spacing w:before="40" w:after="80"/>
        <w:ind w:left="454" w:hanging="454"/>
      </w:pPr>
      <w:r>
        <w:rPr>
          <w:rFonts w:ascii="Calibri" w:hAnsi="Calibri"/>
          <w:b w:val="0"/>
          <w:i w:val="0"/>
          <w:color w:val="1A1D2E"/>
          <w:sz w:val="19"/>
        </w:rPr>
        <w:t>[5]  Park, J. S. et al. (2023). Generative Agents: Interactive Simulacra of Human Behavior. ACM UIST 2023.</w:t>
      </w:r>
    </w:p>
    <w:p>
      <w:pPr>
        <w:spacing w:before="40" w:after="80"/>
        <w:ind w:left="454" w:hanging="454"/>
      </w:pPr>
      <w:r>
        <w:rPr>
          <w:rFonts w:ascii="Calibri" w:hAnsi="Calibri"/>
          <w:b w:val="0"/>
          <w:i w:val="0"/>
          <w:color w:val="1A1D2E"/>
          <w:sz w:val="19"/>
        </w:rPr>
        <w:t>[6]  Bai, Y. et al. (2022). Constitutional AI: Harmlessness from AI Feedback. arXiv:2212.08073.</w:t>
      </w:r>
    </w:p>
    <w:p>
      <w:pPr>
        <w:spacing w:before="40" w:after="80"/>
        <w:ind w:left="454" w:hanging="454"/>
      </w:pPr>
      <w:r>
        <w:rPr>
          <w:rFonts w:ascii="Calibri" w:hAnsi="Calibri"/>
          <w:b w:val="0"/>
          <w:i w:val="0"/>
          <w:color w:val="1A1D2E"/>
          <w:sz w:val="19"/>
        </w:rPr>
        <w:t>[7]  Perez, F. &amp; Ribeiro, I. (2022). Ignore Previous Prompt: Attack Techniques For Language Models. NeurIPS 2022 ML Safety Workshop.</w:t>
      </w:r>
    </w:p>
    <w:p>
      <w:pPr>
        <w:spacing w:before="40" w:after="80"/>
        <w:ind w:left="454" w:hanging="454"/>
      </w:pPr>
      <w:r>
        <w:rPr>
          <w:rFonts w:ascii="Calibri" w:hAnsi="Calibri"/>
          <w:b w:val="0"/>
          <w:i w:val="0"/>
          <w:color w:val="1A1D2E"/>
          <w:sz w:val="19"/>
        </w:rPr>
        <w:t>[8]  Graves, A. &amp; Schmidhuber, J. (2005). Framewise Phoneme Classification with Bidirectional LSTM. Neural Networks, 18(5–6), 602–610.</w:t>
      </w:r>
    </w:p>
    <w:p>
      <w:pPr>
        <w:spacing w:before="40" w:after="80"/>
        <w:ind w:left="454" w:hanging="454"/>
      </w:pPr>
      <w:r>
        <w:rPr>
          <w:rFonts w:ascii="Calibri" w:hAnsi="Calibri"/>
          <w:b w:val="0"/>
          <w:i w:val="0"/>
          <w:color w:val="1A1D2E"/>
          <w:sz w:val="19"/>
        </w:rPr>
        <w:t>[9]  Rajpurkar, P. et al. (2017). Cardiologist-Level Arrhythmia Detection with Convolutional Neural Networks. arXiv:1707.01836.</w:t>
      </w:r>
    </w:p>
    <w:p>
      <w:pPr>
        <w:spacing w:before="40" w:after="80"/>
        <w:ind w:left="454" w:hanging="454"/>
      </w:pPr>
      <w:r>
        <w:rPr>
          <w:rFonts w:ascii="Calibri" w:hAnsi="Calibri"/>
          <w:b w:val="0"/>
          <w:i w:val="0"/>
          <w:color w:val="1A1D2E"/>
          <w:sz w:val="19"/>
        </w:rPr>
        <w:t>[10] Hochreiter, S. &amp; Schmidhuber, J. (1997). Long Short-Term Memory. Neural Computation, 9(8), 1735–1780.</w:t>
      </w:r>
    </w:p>
    <w:p>
      <w:pPr>
        <w:spacing w:before="40" w:after="80"/>
        <w:ind w:left="454" w:hanging="454"/>
      </w:pPr>
      <w:r>
        <w:rPr>
          <w:rFonts w:ascii="Calibri" w:hAnsi="Calibri"/>
          <w:b w:val="0"/>
          <w:i w:val="0"/>
          <w:color w:val="1A1D2E"/>
          <w:sz w:val="19"/>
        </w:rPr>
        <w:t>[11] Schuster, M. &amp; Paliwal, K. K. (1997). Bidirectional Recurrent Neural Networks. IEEE Transactions on Signal Processing, 45(11), 2673–2681.</w:t>
      </w:r>
    </w:p>
    <w:p>
      <w:pPr>
        <w:spacing w:before="40" w:after="80"/>
        <w:ind w:left="454" w:hanging="454"/>
      </w:pPr>
      <w:r>
        <w:rPr>
          <w:rFonts w:ascii="Calibri" w:hAnsi="Calibri"/>
          <w:b w:val="0"/>
          <w:i w:val="0"/>
          <w:color w:val="1A1D2E"/>
          <w:sz w:val="19"/>
        </w:rPr>
        <w:t>[12] Microsoft ONNX Runtime Team (2021). ONNX Runtime: Cross-platform, high performance ML inferencing. GitHub.</w:t>
      </w:r>
    </w:p>
    <w:p>
      <w:pPr>
        <w:spacing w:after="240"/>
      </w:pPr>
    </w:p>
    <w:p>
      <w:pPr>
        <w:pBdr>
          <w:top w:val="single" w:sz="4" w:color="CDD1DC"/>
        </w:pBdr>
        <w:spacing w:before="160"/>
      </w:pPr>
      <w:r>
        <w:rPr>
          <w:rFonts w:ascii="Courier New" w:hAnsi="Courier New"/>
          <w:b w:val="0"/>
          <w:i w:val="0"/>
          <w:color w:val="5A6070"/>
          <w:sz w:val="15"/>
        </w:rPr>
        <w:t>DECLARATION</w:t>
      </w:r>
    </w:p>
    <w:p>
      <w:pPr>
        <w:spacing w:before="80" w:after="320"/>
        <w:jc w:val="both"/>
      </w:pPr>
      <w:r>
        <w:rPr>
          <w:rFonts w:ascii="Calibri" w:hAnsi="Calibri"/>
          <w:b w:val="0"/>
          <w:i/>
          <w:color w:val="5A6070"/>
          <w:sz w:val="18"/>
        </w:rPr>
        <w:t>We hereby declare that this report is the original work of the group. All external sources have been cited. The software implementation described in this report was developed by the group as part of the Deep Learning course project for the academic year 2025–2026.</w:t>
      </w:r>
    </w:p>
    <w:tbl>
      <w:tblPr>
        <w:tblW w:type="auto" w:w="0"/>
        <w:jc w:val="left"/>
        <w:tblLook w:firstColumn="1" w:firstRow="1" w:lastColumn="0" w:lastRow="0" w:noHBand="0" w:noVBand="1" w:val="04A0"/>
      </w:tblPr>
      <w:tblGrid>
        <w:gridCol w:w="3024"/>
        <w:gridCol w:w="3024"/>
        <w:gridCol w:w="3024"/>
      </w:tblGrid>
      <w:tr>
        <w:tc>
          <w:tcPr>
            <w:tcW w:type="dxa" w:w="3024"/>
          </w:tcPr>
          <w:p>
            <w:pPr>
              <w:spacing w:before="120"/>
            </w:pPr>
            <w:r>
              <w:rPr>
                <w:rFonts w:ascii="Calibri" w:hAnsi="Calibri"/>
                <w:b w:val="0"/>
                <w:i w:val="0"/>
                <w:color w:val="1A1D2E"/>
                <w:sz w:val="20"/>
              </w:rPr>
              <w:t>______________________</w:t>
            </w:r>
          </w:p>
        </w:tc>
        <w:tc>
          <w:tcPr>
            <w:tcW w:type="dxa" w:w="3024"/>
          </w:tcPr>
          <w:p>
            <w:pPr>
              <w:spacing w:before="120"/>
            </w:pPr>
            <w:r>
              <w:rPr>
                <w:rFonts w:ascii="Calibri" w:hAnsi="Calibri"/>
                <w:b w:val="0"/>
                <w:i w:val="0"/>
                <w:color w:val="1A1D2E"/>
                <w:sz w:val="20"/>
              </w:rPr>
              <w:t>______________________</w:t>
            </w:r>
          </w:p>
        </w:tc>
        <w:tc>
          <w:tcPr>
            <w:tcW w:type="dxa" w:w="3024"/>
          </w:tcPr>
          <w:p>
            <w:pPr>
              <w:spacing w:before="120"/>
            </w:pPr>
            <w:r>
              <w:rPr>
                <w:rFonts w:ascii="Calibri" w:hAnsi="Calibri"/>
                <w:b w:val="0"/>
                <w:i w:val="0"/>
                <w:color w:val="1A1D2E"/>
                <w:sz w:val="20"/>
              </w:rPr>
              <w:t>______________________</w:t>
            </w:r>
          </w:p>
        </w:tc>
      </w:tr>
      <w:tr>
        <w:tc>
          <w:tcPr>
            <w:tcW w:type="dxa" w:w="3024"/>
          </w:tcPr>
          <w:p>
            <w:r>
              <w:rPr>
                <w:rFonts w:ascii="Calibri" w:hAnsi="Calibri"/>
                <w:b w:val="0"/>
                <w:i w:val="0"/>
                <w:color w:val="1A1D2E"/>
                <w:sz w:val="19"/>
              </w:rPr>
              <w:t>Dua Rizwan</w:t>
              <w:br/>
            </w:r>
            <w:r>
              <w:rPr>
                <w:rFonts w:ascii="Courier New" w:hAnsi="Courier New"/>
                <w:b w:val="0"/>
                <w:i w:val="0"/>
                <w:color w:val="5A6070"/>
                <w:sz w:val="16"/>
              </w:rPr>
              <w:t>F22CSC036</w:t>
            </w:r>
          </w:p>
        </w:tc>
        <w:tc>
          <w:tcPr>
            <w:tcW w:type="dxa" w:w="3024"/>
          </w:tcPr>
          <w:p>
            <w:r>
              <w:rPr>
                <w:rFonts w:ascii="Calibri" w:hAnsi="Calibri"/>
                <w:b w:val="0"/>
                <w:i w:val="0"/>
                <w:color w:val="1A1D2E"/>
                <w:sz w:val="19"/>
              </w:rPr>
              <w:t>Rabyaan Khan</w:t>
              <w:br/>
            </w:r>
            <w:r>
              <w:rPr>
                <w:rFonts w:ascii="Courier New" w:hAnsi="Courier New"/>
                <w:b w:val="0"/>
                <w:i w:val="0"/>
                <w:color w:val="5A6070"/>
                <w:sz w:val="16"/>
              </w:rPr>
              <w:t>F22CSC006</w:t>
            </w:r>
          </w:p>
        </w:tc>
        <w:tc>
          <w:tcPr>
            <w:tcW w:type="dxa" w:w="3024"/>
          </w:tcPr>
          <w:p>
            <w:r>
              <w:rPr>
                <w:rFonts w:ascii="Calibri" w:hAnsi="Calibri"/>
                <w:b w:val="0"/>
                <w:i w:val="0"/>
                <w:color w:val="1A1D2E"/>
                <w:sz w:val="19"/>
              </w:rPr>
              <w:t>Zeeshan Ahmed</w:t>
              <w:br/>
            </w:r>
            <w:r>
              <w:rPr>
                <w:rFonts w:ascii="Courier New" w:hAnsi="Courier New"/>
                <w:b w:val="0"/>
                <w:i w:val="0"/>
                <w:color w:val="5A6070"/>
                <w:sz w:val="16"/>
              </w:rPr>
              <w:t>F22CSC028</w:t>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