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5C32"/>
          <w:sz w:val="28"/>
          <w:szCs w:val="28"/>
        </w:rPr>
        <w:t xml:space="preserve">CARLOS DOS SANTOS NASCIMENTO, LDA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Engenharia de Veículos Comerciais</w:t>
      </w:r>
    </w:p>
    <w:p>
      <w:pPr>
        <w:pBdr>
          <w:bottom w:val="single" w:color="2D8B4E" w:sz="6" w:space="1"/>
        </w:pBdr>
        <w:spacing w:after="600"/>
        <w:jc w:val="center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22222"/>
          <w:sz w:val="40"/>
          <w:szCs w:val="40"/>
        </w:rPr>
        <w:t xml:space="preserve">Análise de Conformidade: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D8B4E"/>
          <w:sz w:val="34"/>
          <w:szCs w:val="34"/>
        </w:rPr>
        <w:t xml:space="preserve">Skills CSN Opus vs. Guia Anthropic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Mapeamento do sistema de skills contra «The Complete Guide to Building Skills for Claude»</w:t>
      </w:r>
    </w:p>
    <w:p>
      <w:pPr>
        <w:spacing w:after="1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Código interno: CSN-L4-DOC-002-2026</w:t>
      </w:r>
    </w:p>
    <w:p>
      <w:pPr>
        <w:spacing w:after="1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Nível ISA-95: L4-BPL (Estratégia) | L3-MOM (Implementação)</w:t>
      </w:r>
    </w:p>
    <w:p>
      <w:pPr>
        <w:spacing w:after="1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Abril 2026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1. Contexto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Este documento analisa o sistema de skills do CSN Opus contra o guia oficial da Anthropic «The Complete Guide to Building Skills for Claude» (2026). O objectivo é identificar o que já está conforme, o que está parcialmente conforme, e o que precisa de ser corrigido para alinhar com as melhores práticas oficiais.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 CSN Opus utiliza skills no Cursor AI (via .cursorrules e Notepad files) e no claude.ai (via projecto com ficheiros de contexto). O guia Anthropic define o standard para skills portáveis que funcionam em Claude.ai, Claude Code, e API.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2. Princípios de Design: Conformidade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2.1 Progressive Disclosure — Conforme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 guia define três níveis de divulgação progressiva: Nível 1 (YAML frontmatter, sempre carregado), Nível 2 (corpo do SKILL.md, carregado quando relevante), Nível 3 (ficheiros ligados, descobertos sob demanda). O CSN Opus já implementa esta lógica: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Nível 1: </w:t>
      </w:r>
      <w:r>
        <w:rPr>
          <w:rFonts w:ascii="Arial" w:cs="Arial" w:eastAsia="Arial" w:hAnsi="Arial"/>
          <w:sz w:val="22"/>
          <w:szCs w:val="22"/>
        </w:rPr>
        <w:t xml:space="preserve">.cursorrules (14 blocos) e memórias do projecto Claude — sempre presentes em todas as sessões.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Nível 2: </w:t>
      </w:r>
      <w:r>
        <w:rPr>
          <w:rFonts w:ascii="Arial" w:cs="Arial" w:eastAsia="Arial" w:hAnsi="Arial"/>
          <w:sz w:val="22"/>
          <w:szCs w:val="22"/>
        </w:rPr>
        <w:t xml:space="preserve">Notepad files no Cursor (np-isa95, np-iso22400, np-schema, np-encoding, np-sessao, np-normas) — carregados via @referência quando relevantes.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Nível 3: </w:t>
      </w:r>
      <w:r>
        <w:rPr>
          <w:rFonts w:ascii="Arial" w:cs="Arial" w:eastAsia="Arial" w:hAnsi="Arial"/>
          <w:sz w:val="22"/>
          <w:szCs w:val="22"/>
        </w:rPr>
        <w:t xml:space="preserve">Documentos de sessão (ESTADO.OPUS, Architecture HTML, Controlo PDF) — consultados quando necessário via upload.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 princípio é o mesmo: minimizar uso de tokens enquanto se mantém expertise especializada disponível.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2.2 Composabilidade — Conforme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 guia diz que skills devem funcionar bem em conjunto sem assumir que são a única capacidade disponível. Os skills CSN Opus são independentes: SKILL_CHAGAS (fornecedor parafusos), SKILL_PECOL (fornecedor), SKILL-GUIDE.md (meta-skill de como criar skills) não têm dependências cruzadas e podem coexistir sem conflito.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2.3 Portabilidade — Parcial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 guia afirma que skills devem funcionar identicamente em Claude.ai, Claude Code, e API. Os nossos skills estão divididos entre dois ambientes (Cursor com Notepad files e claude.ai com projecto), o que dificulta portabilidade directa. Uma migração para o formato standard SKILL.md com YAML frontmatter permitiria usar os mesmos skills em qualquer superfície.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3. Requisitos Técnicos: Auditoria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3.1 Estrutura de Pastas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 guia define a seguinte estrutura obrigatória: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SKILL.md </w:t>
      </w:r>
      <w:r>
        <w:rPr>
          <w:rFonts w:ascii="Arial" w:cs="Arial" w:eastAsia="Arial" w:hAnsi="Arial"/>
          <w:sz w:val="22"/>
          <w:szCs w:val="22"/>
        </w:rPr>
        <w:t xml:space="preserve">(obrigatório) — Ficheiro principal com instruções em Markdown e frontmatter YAML.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scripts/ </w:t>
      </w:r>
      <w:r>
        <w:rPr>
          <w:rFonts w:ascii="Arial" w:cs="Arial" w:eastAsia="Arial" w:hAnsi="Arial"/>
          <w:sz w:val="22"/>
          <w:szCs w:val="22"/>
        </w:rPr>
        <w:t xml:space="preserve">(opcional) — Código executável (Python, Bash) para validações programáticas.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references/ </w:t>
      </w:r>
      <w:r>
        <w:rPr>
          <w:rFonts w:ascii="Arial" w:cs="Arial" w:eastAsia="Arial" w:hAnsi="Arial"/>
          <w:sz w:val="22"/>
          <w:szCs w:val="22"/>
        </w:rPr>
        <w:t xml:space="preserve">(opcional) — Documentação carregada sob demanda.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assets/ </w:t>
      </w:r>
      <w:r>
        <w:rPr>
          <w:rFonts w:ascii="Arial" w:cs="Arial" w:eastAsia="Arial" w:hAnsi="Arial"/>
          <w:sz w:val="22"/>
          <w:szCs w:val="22"/>
        </w:rPr>
        <w:t xml:space="preserve">(opcional) — Templates, fontes, ícones usados no output.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2200"/>
        <w:gridCol w:w="21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 Anthropic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CSN Opus Actual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Nome do ficheiro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SKILL.md (exacto)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SKILL_CHAGAS, SKILL-GUIDE.md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Parcial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Nome da pasta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kebab-case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Underscores e maiúsculas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Não conforme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YAML frontmatter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--- delimiters + name + description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verificar por skill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verificar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Trigger phrases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Obrigatório na description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Não formalizado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Não conforme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Negative triggers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Recomendado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Não implementado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Não conforme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README.md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Proibido dentro da pasta skill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Conforme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Progressive disclosure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níveis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Implementado (3 níveis)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Conforme</w:t>
            </w:r>
          </w:p>
        </w:tc>
      </w:tr>
    </w:tbl>
    <w:p>
      <w:pPr>
        <w:spacing w:before="200"/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4. Categorias de Skills: Mapeamento CSN Opus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 guia identifica três categorias de skills. O CSN Opus utiliza todas: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4.1 Categoria 1: Criação de Documentos e Assets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 guia descreve skills que criam output consistente e de alta qualidade: documentos, apresentações, código. No CSN Opus, isto corresponde à geração de documentos de sessão (Architecture HTML, KPIs HTML, Controlo PDF), recibos de vencimento, e facturas InvoiceXpress. As técnicas-chave recomendadas pelo guia e já usadas são: style guides embebidos (codificação interna CSN-L[nível]-[secção]-[seq]-[ano]), estruturas template para output consistente, e checklists de qualidade (secção Prontidão para Auditoria no Architecture HTML).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4.2 Categoria 2: Automação de Workflow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 guia descreve processos multi-step com validation gates. No CSN Opus, o protocolo de sessões é exactamente isto: 6 documentos obrigatórios de fecho, ordem específica (ESTADO.OPUS primeiro, commit por último), validação em cada passo (git status antes de push, Ctrl+A→Delete antes de SQL). O fluxo CRM (Router classifica ticket → criação COM→PRD automática → Marta bloqueada em 6 passos) também segue este padrão.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4.3 Categoria 3: MCP Enhancement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 guia descreve skills que adicionam workflow guidance por cima do acesso a ferramentas MCP. No CSN Opus, os skills de fornecedores (SKILL_CHAGAS, SKILL_PECOL) são exactamente isto: embebem conhecimento de domínio (catálogos, códigos de produto, condições de preço) que permite ao Claude fazer encomendas e consultas correctas sem que o utilizador tenha de especificar cada detalhe. O Supabase MCP conectado ao projecto Claude também beneficiaria de skills que ensinam o Claude a usar as 47 tabelas correctamente.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5. Padrões de Design: Análise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 guia define 5 padrões de design para skills. Mapeamento ao CSN Opus: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400"/>
        <w:gridCol w:w="21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Padrão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 Guia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CSN Opus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P1: Sequential Workflow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Multi-step em ordem específica com dependências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Protocolo sessões, fluxo CRM tickets, obra end-of-cycle (futuro)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Conforme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P2: Multi-MCP Coordination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Workflows que cruzam vários serviços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Supabase + InvoiceXpress + APIs matrícula (CRM)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Conforme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P3: Iterative Refinement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Output melhora com iteração e validação automática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Revisão humana mas sem scripts de validação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Parcial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P4: Context-Aware Selection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Mesma saída, ferramentas diferentes conforme contexto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Não implementado formalmente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Não conforme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P5: Domain Intelligence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Conhecimento especializado embebido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ISA-95, ISO 22400, EN 1090, Regra Bandeira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Conforme</w:t>
            </w:r>
          </w:p>
        </w:tc>
      </w:tr>
    </w:tbl>
    <w:p>
      <w:pPr>
        <w:spacing w:before="200"/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6. Testes de Skills: Lacuna Principal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 guia dedica um capítulo inteiro a testes de skills com três categorias. Estado actual do CSN Opus: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13"/>
        <w:gridCol w:w="2000"/>
        <w:gridCol w:w="2013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testa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CSN Opus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Triggering Tests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 skill carrega quando deve? Não carrega quando não deve?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Não formalizado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Não conforme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Functional Tests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 skill produz output correcto? APIs não falham?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Verificação manual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Parcial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Performance Comparison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 skill melhora resultados vs. baseline sem skill?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Não medido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Não conforme</w:t>
            </w:r>
          </w:p>
        </w:tc>
      </w:tr>
    </w:tbl>
    <w:p>
      <w:pPr>
        <w:spacing w:before="200"/>
      </w:pP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 guia recomenda que se comece por iterar numa única tarefa difícil até o Claude ter sucesso, e depois extrair a abordagem vencedora para um skill. Este princípio é coerente com a forma como o CSN Opus evoluiu: cada sessão resolve problemas concretos, e as soluções são consolidadas em regras (.cursorrules) e documentação. A lacuna é que esta consolidação não está no formato standard de skills testáveis.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7. YAML Frontmatter: Exemplo de Correcção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 guia define o frontmatter como «the most important part» porque é assim que o Claude decide se carrega o skill. Abaixo, um exemplo de como os skills CSN Opus devem ser reestruturados: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7.1 Exemplo: SKILL_CHAGAS → skill-chagas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Antes (formato actual):</w:t>
      </w:r>
    </w:p>
    <w:p>
      <w:pPr>
        <w:spacing w:after="120"/>
        <w:jc w:val="both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Ficheiro SKILL_CHAGAS.md sem frontmatter YAML formal, sem trigger phrases explícitas, sem negative triggers. Nome com underscores e maiúsculas.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Depois (formato conforme):</w:t>
      </w:r>
    </w:p>
    <w:p>
      <w:pPr>
        <w:spacing w:after="8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---</w:t>
      </w:r>
    </w:p>
    <w:p>
      <w:pPr>
        <w:spacing w:after="8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name: skill-chagas</w:t>
      </w:r>
    </w:p>
    <w:p>
      <w:pPr>
        <w:spacing w:after="8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description: Gestão de encomendas e consultas ao fornecedor</w:t>
      </w:r>
    </w:p>
    <w:p>
      <w:pPr>
        <w:spacing w:after="8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  Chagas (parafusos, porcas, anilhas, fixadores). Use quando o</w:t>
      </w:r>
    </w:p>
    <w:p>
      <w:pPr>
        <w:spacing w:after="8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  utilizador menciona "encomendar parafusos", "Chagas",</w:t>
      </w:r>
    </w:p>
    <w:p>
      <w:pPr>
        <w:spacing w:after="8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  "fixadores", "consultar catálogo Chagas", ou pede preços de</w:t>
      </w:r>
    </w:p>
    <w:p>
      <w:pPr>
        <w:spacing w:after="8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  material de fixação. NÃO usar para Pecol (usar skill-pecol)</w:t>
      </w:r>
    </w:p>
    <w:p>
      <w:pPr>
        <w:spacing w:after="8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  nem para compras gerais ou material de soldadura.</w:t>
      </w:r>
    </w:p>
    <w:p>
      <w:pPr>
        <w:spacing w:after="8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metadata:</w:t>
      </w:r>
    </w:p>
    <w:p>
      <w:pPr>
        <w:spacing w:after="8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  author: CSN</w:t>
      </w:r>
    </w:p>
    <w:p>
      <w:pPr>
        <w:spacing w:after="8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  version: 1.0.0</w:t>
      </w:r>
    </w:p>
    <w:p>
      <w:pPr>
        <w:spacing w:after="8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  isa95-level: L3-MOM-INV</w:t>
      </w:r>
    </w:p>
    <w:p>
      <w:pPr>
        <w:spacing w:after="120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---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Nota: O campo metadata permite campos customizados. A adição de isa95-level no metadata é uma extensão CSN que não viola o standard mas permite manter a declaração ISA-95 obrigatória em cada componente do sistema.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7.2 Exemplo: Skill de Sessão</w:t>
      </w:r>
    </w:p>
    <w:p>
      <w:pPr>
        <w:spacing w:after="8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---</w:t>
      </w:r>
    </w:p>
    <w:p>
      <w:pPr>
        <w:spacing w:after="8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name: skill-sessao-csn</w:t>
      </w:r>
    </w:p>
    <w:p>
      <w:pPr>
        <w:spacing w:after="8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description: Protocolo de abertura e fecho de sessões de</w:t>
      </w:r>
    </w:p>
    <w:p>
      <w:pPr>
        <w:spacing w:after="8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  trabalho CSN Opus. Use quando o utilizador inicia uma nova</w:t>
      </w:r>
    </w:p>
    <w:p>
      <w:pPr>
        <w:spacing w:after="8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  sessão, diz "abrir sessão", "fechar sessão", "fecho de</w:t>
      </w:r>
    </w:p>
    <w:p>
      <w:pPr>
        <w:spacing w:after="8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  sessão", "documentos de fecho", ou precisa de gerar os 6</w:t>
      </w:r>
    </w:p>
    <w:p>
      <w:pPr>
        <w:spacing w:after="8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  documentos obrigatórios. NÃO usar para trabalho técnico</w:t>
      </w:r>
    </w:p>
    <w:p>
      <w:pPr>
        <w:spacing w:after="8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  de desenvolvimento ou debugging.</w:t>
      </w:r>
    </w:p>
    <w:p>
      <w:pPr>
        <w:spacing w:after="8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metadata:</w:t>
      </w:r>
    </w:p>
    <w:p>
      <w:pPr>
        <w:spacing w:after="8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  author: CSN</w:t>
      </w:r>
    </w:p>
    <w:p>
      <w:pPr>
        <w:spacing w:after="8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  version: 1.0.0</w:t>
      </w:r>
    </w:p>
    <w:p>
      <w:pPr>
        <w:spacing w:after="8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  isa95-level: L4-BPL-DOC</w:t>
      </w:r>
    </w:p>
    <w:p>
      <w:pPr>
        <w:spacing w:after="120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---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8. Plano de Acção: Correcções Prioritárias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As seguintes correcções são necessárias para alinhar os skills CSN Opus com o guia Anthropic, ordenadas por prioridade: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1500"/>
        <w:gridCol w:w="2126"/>
        <w:gridCol w:w="21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Acção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Esforço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Adicionar YAML frontmatter a todos os skills existentes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 Claude decide quando carregar cada skill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Baixo (30 min)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Renomear para kebab-case: SKILL_CHAGAS → skill-chagas/SKILL.md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Conformidade com standard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Baixo (15 min)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Adicionar trigger phrases e negative triggers na description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Evita over/under-triggering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Baixo (30 min)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Reorganizar em estrutura de pastas: SKILL.md + references/ + scripts/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MÉDIA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Permite scripts de validação e docs sob demanda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Médio (1–2h)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Adicionar metadata com isa95-level em cada skill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MÉDIA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Mantém declaração ISA-95 obrigatória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Baixo (15 min)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Criar triggering tests para cada skill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MÉDIA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Garante que skills carregam correctamente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Médio (1h)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Criar scripts de validação (Pattern 3) para outputs críticos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BAIXA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Validação automática antes de finalizar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Alto (2–4h)</w:t>
            </w:r>
          </w:p>
        </w:tc>
      </w:tr>
    </w:tbl>
    <w:p>
      <w:pPr>
        <w:spacing w:before="200"/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9. Skills Candidatos a Criação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Além de corrigir os skills existentes, os seguintes skills novos acrescentariam valor ao sistema: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26"/>
        <w:gridCol w:w="2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Nível ISA-95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 Guia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skill-sessao-csn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L4-BPL-DOC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Protocolo abertura/fecho de sessões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Cat. 2: Workflow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skill-obra-dossier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L3-MOM-PRD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Geração COC + DoP + CE + factura em F9/Termo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Cat. 1: Documentos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skill-kpi-iso22400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L3-MOM-QMS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Cálculo e validação dos 34+4 KPIs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Cat. 2: Workflow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skill-recibo-rh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L3-MOM-PER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Geração e cálculo de recibos vencimento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Cat. 1: Documentos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skill-supabase-csn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L3-MOM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Guia de uso das 47 tabelas CSN no Supabase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Cat. 3: MCP Enhancement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skill-ferro-supplier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L3-MOM-INV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Fornecedor de ferro (a definir)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Cat. 3: MCP Enhancement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skill-coc-electronico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L3-MOM-PRD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Geração COC electrónico IMT (deadline jul/2026)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Cat. 1: Documentos</w:t>
            </w:r>
          </w:p>
        </w:tc>
      </w:tr>
    </w:tbl>
    <w:p>
      <w:pPr>
        <w:spacing w:before="200"/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10. Conclusão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 CSN Opus já implementa os princípios fundamentais do guia Anthropic: progressive disclosure, composabilidade, domínio-specific intelligence, e workflow automation. Os skills existentes embebem conhecimento de domínio valioso (ISA-95, normas EN, fornecedores, protocolos de sessão).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As lacunas são primáriamente de formato e não de substância: nomenclatura (kebab-case), YAML frontmatter formal, trigger/negative trigger phrases, e testes de triggering. Estas correcções são de baixo esforço (maioria resolvível em 1–2 horas) e alto impacto (o Claude passa a carregar os skills correctos automaticamente, reduz over/under-triggering, e o sistema fica portável entre Claude.ai, Claude Code, e API).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A criação de novos skills dedicados (sessão, obra, KPIs, COC electrónico) complementará o sistema com automações específicas que hoje dependem de contexto manual repetido em cada sessão.</w:t>
      </w:r>
    </w:p>
    <w:p>
      <w:pPr>
        <w:pBdr>
          <w:top w:val="single" w:color="2D8B4E" w:sz="2" w:space="8"/>
        </w:pBdr>
        <w:spacing w:before="400"/>
      </w:pP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CSN — Engenharia de Veículos Comerciais</w:t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Mafra, Portugal | NIF 500 861 790 | Documento Interno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D8B4E" w:sz="2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CSN Lda — Documento Interno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8B4E" w:sz="2" w:space="4"/>
      </w:pBd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CSN-L4-DOC-002-2026 | Skills CSN Opus vs. Guia Anthropic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5C3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D8B4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2026-04-05T13:30:32.457Z</dcterms:created>
  <dcterms:modified xsi:type="dcterms:W3CDTF">2026-04-05T13:30:32.457Z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