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A5C32"/>
          <w:sz w:val="28"/>
          <w:szCs w:val="28"/>
        </w:rPr>
        <w:t xml:space="preserve">CARLOS DOS SANTOS NASCIMENTO, LDA</w:t>
      </w:r>
    </w:p>
    <w:p>
      <w:pPr>
        <w:spacing w:after="10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Engenharia de Veículos Comerciais</w:t>
      </w:r>
    </w:p>
    <w:p>
      <w:pPr>
        <w:pBdr>
          <w:bottom w:val="single" w:color="2D8B4E" w:sz="6" w:space="1"/>
        </w:pBdr>
        <w:spacing w:after="600"/>
        <w:jc w:val="center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22222"/>
          <w:sz w:val="40"/>
          <w:szCs w:val="40"/>
        </w:rPr>
        <w:t xml:space="preserve">Boas Práticas de Engenharia de Prompts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2D8B4E"/>
          <w:sz w:val="34"/>
          <w:szCs w:val="34"/>
        </w:rPr>
        <w:t xml:space="preserve">&amp; Testes Automatizados na Arquitectura ISA-95</w:t>
      </w:r>
    </w:p>
    <w:p>
      <w:pPr>
        <w:spacing w:after="6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Análise de práticas actuais, mapeamento ISA-95, e proposta de testes automatizados</w:t>
      </w:r>
    </w:p>
    <w:p>
      <w:pPr>
        <w:spacing w:after="10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Código interno: CSN-L4-DOC-001-2026</w:t>
      </w:r>
    </w:p>
    <w:p>
      <w:pPr>
        <w:spacing w:after="10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Nível ISA-95: L4-BPL (Estratégia) | L3-MOM (Implementação)</w:t>
      </w:r>
    </w:p>
    <w:p>
      <w:pPr>
        <w:spacing w:after="10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Abril 2026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</w:rPr>
        <w:t xml:space="preserve">1. Contexto e Objectivo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Este documento analisa 32 boas práticas de utilização de ferramentas de código assistido por IA (baseado no artigo «32 Claude Code Tips») e mapeia as que já são utilizadas no projecto CSN Opus, identifica as que podem ser adoptadas, e detalha a proposta de testes automatizados enquadrada na arquitectura ISA-95/IEC 62264 do sistema.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O CSN Opus é um sistema integrado de gestão (não um ERP) que governa todas as operações da empresa em cinco níveis ISA-95 (L0–L4). À data deste documento, o sistema tem ~47 tabelas, 37 migrações, 11 agentes autónomos nucleus (Camada 3), e 5 personas de comunicação (Camada 2).</w:t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</w:rPr>
        <w:t xml:space="preserve">2. Práticas Já Adoptadas no CSN Opus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As seguintes práticas do artigo já fazem parte do nosso workflow de sessões: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</w:rPr>
        <w:t xml:space="preserve">2.1 Documentos de Handoff (Tip 7)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O protocolo de 6 documentos obrigatórios de fecho de sessão (ESTADO.OPUS, Controlo PDF, Architecture HTML, KPIs HTML, Skills Registry HTML) é uma implementação directa do conceito de «handoff document». Cada sessão nova começa com contexto condensado da anterior, garantindo continuidade sem perda de informação. O nosso protocolo é mais formalizado que o descrito no artigo, com codificação interna, versionamento obrigatório, e regra de nunca sobrescrever ficheiros anteriores.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</w:rPr>
        <w:t xml:space="preserve">2.2 Contexto Fresco e Condensado (Tip 4)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O modelo «nova sessão = novo chat» com upload dos documentos da sessão anterior segue este princípio. Nunca se arrasta uma sessão indefinidamente. O artigo recomenda começar conversações novas para cada tópico — nós fazemos exactamente isso, com a vantagem de que o contexto da sessão anterior está sempre disponível nos documentos de upload.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</w:rPr>
        <w:t xml:space="preserve">2.3 Decomposição de Problemas (Tip 2)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As sessões (S35, S36, S37, S38) são a materialização deste princípio. Cada uma tem scope definido e prioridades claras. Exemplos concretos: o CRM foi dividido em tickets, router, APIs de matrícula; o configurador JPM foi replicado em 6 passos separados; os recibos de vencimento foram tratados como tarefa independente (45 recibos, Jan 2025–Mar 2026).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</w:rPr>
        <w:t xml:space="preserve">2.4 Disciplina Git (Tip 3)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Regras estritas de Git: nunca force push, verificar estado antes de fechar, um commit por tema, mensagens de commit claras. O artigo sugere delegar Git ao agente — nós fazemos isso mas com supervisão explícita: plano completo apresentado, revisão pelo Duarte, confirmação com «sim» antes de execução.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</w:rPr>
        <w:t xml:space="preserve">2.5 Investimento em Workflow (Tip 11)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O .cursorrules com 14 blocos, os 6 Notepad files (np-isa95, np-iso22400, np-schema, np-encoding, np-sessao, np-normas), o sistema de Skills, e o protocolo de sessões documentado em PDF (CSNProcessoSessões) são investimento directo em workflow. Cada ferramenta foi criada para resolver um problema recorrente específico.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</w:rPr>
        <w:t xml:space="preserve">2.6 Instruções Concisas e Modulares (Tips 24 e 29)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A separação entre .cursorrules (contexto base permanente) e skills modulares (SKILL_CHAGAS, SKILL_PECOL, SKILL-GUIDE) carregados quando relevantes segue o princípio de eficiência de tokens. Os Notepad files no Cursor permitem carregar contexto ISA-95, ISO 22400, ou esquema de tabelas só quando necessário via @np-schema, em vez de ter tudo sempre presente.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</w:rPr>
        <w:t xml:space="preserve">2.7 Verificação de Output (Tip 27)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O padrão de trabalho «mostra o plano completo → revisão pelo Duarte → confirmação com sim» é verificação antes de execução. Inconsistências arquitecturais são apanhadas rapidamente (exemplo: correcção de persona Fernando que substituiu Sr. Manuel, identificação de routes de agente em paths de persona).</w:t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</w:rPr>
        <w:t xml:space="preserve">3. Quadro Resumo: Práticas Adoptadas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413"/>
        <w:gridCol w:w="4413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Prática</w:t>
            </w:r>
          </w:p>
        </w:tc>
        <w:tc>
          <w:tcPr>
            <w:tcW w:type="dxa" w:w="4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Implementação CSN Opus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Tip 7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Handoff documents</w:t>
            </w:r>
          </w:p>
        </w:tc>
        <w:tc>
          <w:tcPr>
            <w:tcW w:type="dxa" w:w="4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 documentos obrigatórios por sessão, nunca sobrescrever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Tip 4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Contexto fresco</w:t>
            </w:r>
          </w:p>
        </w:tc>
        <w:tc>
          <w:tcPr>
            <w:tcW w:type="dxa" w:w="4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Nova sessão = novo chat + upload docs anteriores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Tip 2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Decomposição</w:t>
            </w:r>
          </w:p>
        </w:tc>
        <w:tc>
          <w:tcPr>
            <w:tcW w:type="dxa" w:w="4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Sessões com scope definido (S35–S38)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Tip 3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Disciplina Git</w:t>
            </w:r>
          </w:p>
        </w:tc>
        <w:tc>
          <w:tcPr>
            <w:tcW w:type="dxa" w:w="4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Nunca force push, verificação antes de fechar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Tip 11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Investimento workflow</w:t>
            </w:r>
          </w:p>
        </w:tc>
        <w:tc>
          <w:tcPr>
            <w:tcW w:type="dxa" w:w="4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.cursorrules, 6 Notepad files, protocolo PDF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Tips 24/29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Instruções modulares</w:t>
            </w:r>
          </w:p>
        </w:tc>
        <w:tc>
          <w:tcPr>
            <w:tcW w:type="dxa" w:w="4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Skills + Notepad files carregados sob demanda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Tip 27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Verificação output</w:t>
            </w:r>
          </w:p>
        </w:tc>
        <w:tc>
          <w:tcPr>
            <w:tcW w:type="dxa" w:w="4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Plano → revisão → confirmação «sim»</w:t>
            </w:r>
          </w:p>
        </w:tc>
      </w:tr>
    </w:tbl>
    <w:p>
      <w:pPr>
        <w:spacing w:before="200"/>
      </w:pP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</w:rPr>
        <w:t xml:space="preserve">4. Práticas a Adoptar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As seguintes práticas do artigo não são utilizadas actualmente mas trariam valor ao CSN Opus: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</w:rPr>
        <w:t xml:space="preserve">4.1 Ciclo Write-Test (Tip 8) — Prioridade Alta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Testes automatizados para as API routes dos agentes nucleus. Detalhe completo na Secção 5 deste documento.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</w:rPr>
        <w:t xml:space="preserve">4.2 Git Worktrees (Tip 15) — Prioridade Média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Quando o CSN Connect entrar em desenvolvimento como portal separado, worktrees ou branches dedicadas permitirão trabalho paralelo sem conflitos no repositório principal csn-producao.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</w:rPr>
        <w:t xml:space="preserve">4.3 Containers (Tip 20) — Prioridade Média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Ambiente containerizado para testar migrações Supabase antes de aplicar em produção. Particularmente relevante dado o número de tabelas (47) e a complexidade crescente das migrações (37 já executadas). Um erro numa migração em produção pode ser destrutivo.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</w:rPr>
        <w:t xml:space="preserve">4.4 Backoff para Deploys (Tip 16) — Prioridade Baixa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Verificação automática pós-deploy com npx vercel --prod. Útil mas não crítico no workflow actual.</w:t>
      </w:r>
    </w:p>
    <w:p>
      <w:pPr>
        <w:spacing w:before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13"/>
        <w:gridCol w:w="2013"/>
        <w:gridCol w:w="30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</w:t>
            </w:r>
          </w:p>
        </w:tc>
        <w:tc>
          <w:tcPr>
            <w:tcW w:type="dxa" w:w="28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Prática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Quando implementar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Tip 8</w:t>
            </w:r>
          </w:p>
        </w:tc>
        <w:tc>
          <w:tcPr>
            <w:tcW w:type="dxa" w:w="28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Testes automatizados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ALTA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Próximas sessões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Tip 15</w:t>
            </w:r>
          </w:p>
        </w:tc>
        <w:tc>
          <w:tcPr>
            <w:tcW w:type="dxa" w:w="28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Git worktrees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Média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Quando CSN Connect arrancar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Tip 20</w:t>
            </w:r>
          </w:p>
        </w:tc>
        <w:tc>
          <w:tcPr>
            <w:tcW w:type="dxa" w:w="28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Containers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Média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Quando migrações ficarem críticas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Tip 16</w:t>
            </w:r>
          </w:p>
        </w:tc>
        <w:tc>
          <w:tcPr>
            <w:tcW w:type="dxa" w:w="28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Backoff deploys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Baixa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Quando houver CI/CD pipeline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</w:rPr>
        <w:t xml:space="preserve">5. Testes Automatizados na Arquitectura ISA-95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Esta secção detalha onde os testes automatizados se localizam na arquitectura ISA-95 do CSN Opus, o que verificam em cada nível, e o que acrescentam ao sucesso do sistema.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</w:rPr>
        <w:t xml:space="preserve">5.1 Enquadramento: Verificação como Função QMS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Os testes automatizados não caem num único nível ISA-95 — atravessam a arquitectura como uma função de verificação e validação, que no ISA-95 é responsabilidade do QMS. O local exacto depende do que está a ser testado. São o equivalente digital da inspecção visual EN ISO 17637 que se faz às soldaduras físicas: em L0-PHY inspeccionam-se cordões de soldadura com critérios EN ISO 5817 nível C; em L3-MOM devem inspeccionar-se as «soldaduras digitais» — os pontos onde os agentes transformam dados.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</w:rPr>
        <w:t xml:space="preserve">5.2 L3-MOM — O Nível de Maior Impacto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É aqui que vivem os 11 agentes nucleus (Camada 3). Cada agente tem API routes que transformam dados e escrevem no Supabase. Testes a este nível verificam que: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Agente RH: </w:t>
      </w:r>
      <w:r>
        <w:rPr>
          <w:rFonts w:ascii="Arial" w:cs="Arial" w:eastAsia="Arial" w:hAnsi="Arial"/>
          <w:sz w:val="22"/>
          <w:szCs w:val="22"/>
        </w:rPr>
        <w:t xml:space="preserve">calcula correctamente recibos de vencimento (45 recibos já processados, Jan 2025–Mar 2026). Um erro no cálculo de CIT ou segurança social afecta 3 trabalhadores directamente.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Router CRM: </w:t>
      </w:r>
      <w:r>
        <w:rPr>
          <w:rFonts w:ascii="Arial" w:cs="Arial" w:eastAsia="Arial" w:hAnsi="Arial"/>
          <w:sz w:val="22"/>
          <w:szCs w:val="22"/>
        </w:rPr>
        <w:t xml:space="preserve">classifica tickets correctamente (COM→PRD quando deve, bloqueio em 6 passos no WhatsApp/Telegram). Marta é a face pública — uma classificação errada desvia um pedido de cliente para o departamento errado.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Facturação InvoiceXpress: </w:t>
      </w:r>
      <w:r>
        <w:rPr>
          <w:rFonts w:ascii="Arial" w:cs="Arial" w:eastAsia="Arial" w:hAnsi="Arial"/>
          <w:sz w:val="22"/>
          <w:szCs w:val="22"/>
        </w:rPr>
        <w:t xml:space="preserve">emissão via /api/faturacao/emitir gera o documento correcto (cert AT 192, conta carlosdossantosna). Erro aqui tem implicações fiscais directas.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KPIs ISO 22400: </w:t>
      </w:r>
      <w:r>
        <w:rPr>
          <w:rFonts w:ascii="Arial" w:cs="Arial" w:eastAsia="Arial" w:hAnsi="Arial"/>
          <w:sz w:val="22"/>
          <w:szCs w:val="22"/>
        </w:rPr>
        <w:t xml:space="preserve">os 6 KPIs calculáveis (Worker Efficiency, Allocation Efficiency, Throughput Rate semanal/mensal, Actual Production Time semanal/mensal) são fórmulas que precisam de verificação. Um KPI que mostra 87% quando devia mostrar 62% destrói a confiança no sistema inteiro.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</w:rPr>
        <w:t xml:space="preserve">5.3 L3↔L4 — Integração entre Camadas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Quando o Agente Financeiro (futuro) reconciliar movimentos BPI com facturas InvoiceXpress, estará a cruzar L3-MOM com L4-BPL. Testes de integração aqui garantem que os dados sobem correctamente do chão de fábrica para o nível de gestão. Se a Luísa (C2, assistente CEO) mostra um dashboard com números que não batem com a realidade do L3, o Duarte toma decisões com base em informação errada. Os 841 movimentos BPI (Jan 2025–Fev 2026) estruturados em Excel pelo Cowork são um caso concreto onde a reconciliação automática precisa de verificação.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</w:rPr>
        <w:t xml:space="preserve">5.4 L2↔L3 — Quando os Sensores Chegarem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Ainda é futuro, mas quando o smart meter do Bodor 60kW entrar (para os 4 KPIs de energia ISO 22400), haverá dados L1/L2 a alimentar o L3. Testes aqui verificam que a ingestão de dados sensoriais não corrompe os cálculos. A mesma lógica aplicar-se-á quando os sensores de peso por eixo ou temperatura de pintura forem integrados.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</w:rPr>
        <w:t xml:space="preserve">5.5 Mapeamento ISA-95 dos Testes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2526"/>
        <w:gridCol w:w="25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Nível ISA-95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se testa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Exemplo concreto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Quando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L3-MOM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API routes dos agentes nucleus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Agente RH calcula recibo correctamente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Imediato (próximas sessões)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L3-MOM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KPIs ISO 22400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Worker Efficiency = fórmula correcta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Imediato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L3-MOM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Router CRM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Ticket COM→PRD classificação correcta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Imediato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L3↔L4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Integração financeira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Reconciliação BPI ↔ InvoiceXpress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Quando Ag. Financeiro entrar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L3↔L4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Dashboards Luísa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Dados L4 = dados L3 reais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Quando dashboards CEO activos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L2↔L3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Ingestão sensores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Smart meter Bodor → KPIs energia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Quando sensores L1 instalados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L0↔L3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Obra end-of-cycle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COC + DoP + CE gerados em F9/Termo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Quando automação obra activa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</w:rPr>
        <w:t xml:space="preserve">6. O que os Testes Acrescentam ao Sucesso do Sistema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</w:rPr>
        <w:t xml:space="preserve">6.1 Problema Actual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O CSN Opus tem 47 tabelas, 37 migrações, 11 agentes, e vai continuar a crescer. Cada sessão de trabalho pode introduzir uma regressão silenciosa. Hoje a verificação é feita manualmente pelo Duarte: revê o plano, confirma com «sim», apanha inconsistências. Isso funciona, mas não escala. Quando o sistema tiver o Agente Financeiro, bank reconciliation, COC electrónico para o IMT, obra end-of-cycle automation a disparar automaticamente em F9/Termo — são demasiados pontos de falha para verificação manual.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</w:rPr>
        <w:t xml:space="preserve">6.2 O que os Testes Garantem</w:t>
      </w:r>
    </w:p>
    <w:p>
      <w:pPr>
        <w:spacing w:after="12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Certeza de não-regressão: </w:t>
      </w:r>
      <w:r>
        <w:rPr>
          <w:rFonts w:ascii="Arial" w:cs="Arial" w:eastAsia="Arial" w:hAnsi="Arial"/>
          <w:sz w:val="22"/>
          <w:szCs w:val="22"/>
        </w:rPr>
        <w:t xml:space="preserve">o que já funciona continua a funcionar depois de cada mudança. No ISA-95, isso é a diferença entre um sistema que precisa de supervisão constante (L2-SUP manual) e um que se auto-verifica (QMS integrado no pipeline).</w:t>
      </w:r>
    </w:p>
    <w:p>
      <w:pPr>
        <w:spacing w:after="12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Conformidade ISO 9001: </w:t>
      </w:r>
      <w:r>
        <w:rPr>
          <w:rFonts w:ascii="Arial" w:cs="Arial" w:eastAsia="Arial" w:hAnsi="Arial"/>
          <w:sz w:val="22"/>
          <w:szCs w:val="22"/>
        </w:rPr>
        <w:t xml:space="preserve">a cláusula 9.1 exige «monitorização, medição, análise e avaliação». Testes automatizados ao software são exactamente isso — monitorização contínua da qualidade dos processos digitais.</w:t>
      </w:r>
    </w:p>
    <w:p>
      <w:pPr>
        <w:spacing w:after="12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Credibilidade PRR/Portugal 2030: </w:t>
      </w:r>
      <w:r>
        <w:rPr>
          <w:rFonts w:ascii="Arial" w:cs="Arial" w:eastAsia="Arial" w:hAnsi="Arial"/>
          <w:sz w:val="22"/>
          <w:szCs w:val="22"/>
        </w:rPr>
        <w:t xml:space="preserve">ter uma camada de verificação documentada e automática reforça directamente a credibilidade do sistema como investimento em modernização industrial. Demonstra maturidade do sistema de qualidade.</w:t>
      </w:r>
    </w:p>
    <w:p>
      <w:pPr>
        <w:spacing w:after="12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Escala: </w:t>
      </w:r>
      <w:r>
        <w:rPr>
          <w:rFonts w:ascii="Arial" w:cs="Arial" w:eastAsia="Arial" w:hAnsi="Arial"/>
          <w:sz w:val="22"/>
          <w:szCs w:val="22"/>
        </w:rPr>
        <w:t xml:space="preserve">permite que o sistema cresça (novos agentes, novas integrações, novos KPIs) sem que o custo de verificação cresça proporcionalmente. Um teste escrito uma vez verifica-se automaticamente em cada deploy.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</w:rPr>
        <w:t xml:space="preserve">6.3 Analogia Física–Digital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3009"/>
        <w:gridCol w:w="3008"/>
      </w:tblGrid>
      <w:tr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Aspecto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Físico (L0-PHY)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Digital (L3-MOM)</w:t>
            </w:r>
          </w:p>
        </w:tc>
      </w:tr>
      <w:tr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 que se inspecciona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Cordões de soldadura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Transformações de dados dos agentes</w:t>
            </w:r>
          </w:p>
        </w:tc>
      </w:tr>
      <w:tr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Norma de referência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 ISO 5817 nível C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Testes unitários + integração</w:t>
            </w:r>
          </w:p>
        </w:tc>
      </w:tr>
      <w:tr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Procedimento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 ISO 17637 (visual)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Jest / Vitest (automático)</w:t>
            </w:r>
          </w:p>
        </w:tc>
      </w:tr>
      <w:tr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Frequência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100% das soldaduras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100% dos deploys</w:t>
            </w:r>
          </w:p>
        </w:tc>
      </w:tr>
      <w:tr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Registo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Relatório inspecção visual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Relatório de testes (CI/CD)</w:t>
            </w:r>
          </w:p>
        </w:tc>
      </w:tr>
      <w:tr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Consequência de falha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Estrutura compromet.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Dados incorrectos / decisões erradas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</w:rPr>
        <w:t xml:space="preserve">7. Regra Bandeira — Aplicação nos Testes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A Regra Bandeira do CSN Opus («nunca inventar, estimar, ou aproximar qualquer valor numérico») aplica-se directamente aos testes automatizados. Os valores esperados nos testes devem vir de fontes verificadas: documentos oficiais (AT, Segurança Social), fórmulas ISO 22400 publicadas, ou dados reais já validados no Supabase. Nunca se deve usar um valor «que parece correcto» como valor esperado num teste.</w:t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</w:rPr>
        <w:t xml:space="preserve">8. Conclusão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O CSN Opus já implementa as práticas mais importantes de gestão de contexto e workflow de sessões. A área de maior potencial de crescimento é a automação de testes, que se enquadra naturalmente na arquitectura ISA-95 como função QMS transversal, com impacto imediato no nível L3-MOM (agentes nucleus) e impacto futuro nas integrações L2↔L3 e L3↔L4.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A implementação de testes automatizados transforma a verificação de manual para automática, liberta capacidade de supervisão humana para decisões estratégicas, e reforça directamente a conformidade com ISO 9001 cláusula 9.1 e a credibilidade da candidatura PRR/Portugal 2030.</w:t>
      </w:r>
    </w:p>
    <w:p>
      <w:pPr>
        <w:pBdr>
          <w:top w:val="single" w:color="2D8B4E" w:sz="2" w:space="8"/>
        </w:pBdr>
        <w:spacing w:before="400"/>
      </w:pP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CSN — Engenharia de Veículos Comerciais</w:t>
      </w:r>
    </w:p>
    <w:p>
      <w:pPr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Mafra, Portugal | NIF 500 861 790 | Documento Interno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D8B4E" w:sz="2" w:space="4"/>
      </w:pBd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CSN Lda — Documento Interno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D8B4E" w:sz="2" w:space="4"/>
      </w:pBd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CSN-L4-DOC-001-2026 | Boas Práticas &amp; Testes ISA-95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5C3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D8B4E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2026-04-05T13:24:38.687Z</dcterms:created>
  <dcterms:modified xsi:type="dcterms:W3CDTF">2026-04-05T13:24:38.688Z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