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09/02/2026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A impressão em formato papel atende necessidades administrativas.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A vista de papel/impressão é um custo adicional baixo com benefício nicho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2026-02-09T04:17:14.012Z</dcterms:created>
  <dcterms:modified xsi:type="dcterms:W3CDTF">2026-02-09T04:17:14.012Z</dcterms:modified>
</cp:coreProperties>
</file>

<file path=docProps/custom.xml><?xml version="1.0" encoding="utf-8"?>
<Properties xmlns="http://schemas.openxmlformats.org/officeDocument/2006/custom-properties" xmlns:vt="http://schemas.openxmlformats.org/officeDocument/2006/docPropsVTypes"/>
</file>