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 e Sort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 O Sort Panel eleva a funcionalidade com gestão visual completa de critérios.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Apenas clique no cabeçalho (sem diálogo).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para uso rápido. O Sort Panel complementa com uma interface visual para cenários avançados: drag &amp; drop para reordenar prioridades, opções por coluna (Case/Accent/Punctuation Insensitive, Parse Numbers). O motor de ordenação usa Intl.Collator com locale 'und' para máxima compatibilidade multilíngue.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para uso rápido. Para cenários complexos (multi-coluna com opções), o Sort Panel oferece controlo granular sem sacrificar a simplicidade da interação básica.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O Sort Panel adiciona valor significativo para utilizadores avançados. A integração com Intl.Collator garante ordenação correta para textos em qualquer idioma.</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Presets de ordenação salvos. Ordenação por expressão calculada.</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O formulário em papel (Paper Form) aumenta a resiliência organizacional, permitindo recolha de dados em papel durante falhas do sistema.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O formulário em papel é um custo adicional baixo com benefício significativo para a resiliência organizacional.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2026-02-11T18:31:50.866Z</dcterms:created>
  <dcterms:modified xsi:type="dcterms:W3CDTF">2026-02-11T18:31:50.866Z</dcterms:modified>
</cp:coreProperties>
</file>

<file path=docProps/custom.xml><?xml version="1.0" encoding="utf-8"?>
<Properties xmlns="http://schemas.openxmlformats.org/officeDocument/2006/custom-properties" xmlns:vt="http://schemas.openxmlformats.org/officeDocument/2006/docPropsVTypes"/>
</file>