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A impressão em formato papel atende necessidades administrativas.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A vista de papel/impressão é um custo adicional baixo com benefício nicho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2026-02-11T17:17:51.892Z</dcterms:created>
  <dcterms:modified xsi:type="dcterms:W3CDTF">2026-02-11T17:17:51.892Z</dcterms:modified>
</cp:coreProperties>
</file>

<file path=docProps/custom.xml><?xml version="1.0" encoding="utf-8"?>
<Properties xmlns="http://schemas.openxmlformats.org/officeDocument/2006/custom-properties" xmlns:vt="http://schemas.openxmlformats.org/officeDocument/2006/docPropsVTypes"/>
</file>