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1.0 — 08/02/2026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Ordenação via diálogo dedicado (em vez de clique no cabeçalho).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O ciclo ascendente→descendente→sem é previsível. Os indicadores visuais com posição (₁, ₂) são informativos sem serem intrusivos.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 isto está perfeitamente alinhado com Excel e outras ferramentas.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alto. A implementação multi-coluna adiciona pouca complexidade sobre a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Natural sort para strings alfanuméricas.</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A impressão em formato papel atende necessidades administrativas.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A vista de papel/impressão é um custo adicional baixo com benefício nicho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e (4) automação via scripting/macros.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2026-02-08T03:55:51.779Z</dcterms:created>
  <dcterms:modified xsi:type="dcterms:W3CDTF">2026-02-08T03:55:51.779Z</dcterms:modified>
</cp:coreProperties>
</file>

<file path=docProps/custom.xml><?xml version="1.0" encoding="utf-8"?>
<Properties xmlns="http://schemas.openxmlformats.org/officeDocument/2006/custom-properties" xmlns:vt="http://schemas.openxmlformats.org/officeDocument/2006/docPropsVTypes"/>
</file>