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1C8EAF64"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81C76">
        <w:rPr>
          <w:color w:val="000000"/>
          <w:szCs w:val="18"/>
          <w:lang w:val="en-US"/>
        </w:rPr>
        <w:t>10</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189E906C" w:rsidR="004F0AFB" w:rsidRPr="00371C10" w:rsidRDefault="004F0AFB" w:rsidP="00371C10">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 xml:space="preserve">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w:t>
      </w:r>
      <w:r w:rsidR="00371C10" w:rsidRPr="00371C10">
        <w:rPr>
          <w:lang w:val="en-US"/>
        </w:rPr>
        <w:lastRenderedPageBreak/>
        <w:t>discusses the threats to validity. Finally, the section 7 show related works; And section 8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lastRenderedPageBreak/>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F6701C">
      <w:pPr>
        <w:pStyle w:val="PargrafodaLista"/>
        <w:numPr>
          <w:ilvl w:val="0"/>
          <w:numId w:val="11"/>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F6701C">
      <w:pPr>
        <w:pStyle w:val="PargrafodaLista"/>
        <w:numPr>
          <w:ilvl w:val="0"/>
          <w:numId w:val="11"/>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A13701">
        <w:rPr>
          <w:lang w:val="en-US"/>
        </w:rPr>
        <w:t>very specific</w:t>
      </w:r>
      <w:proofErr w:type="gramEnd"/>
      <w:r w:rsidRPr="00A13701">
        <w:rPr>
          <w:lang w:val="en-US"/>
        </w:rPr>
        <w:t xml:space="preserve">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lastRenderedPageBreak/>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w:t>
      </w:r>
      <w:proofErr w:type="gramStart"/>
      <w:r w:rsidRPr="0012227E">
        <w:rPr>
          <w:lang w:val="en-US"/>
        </w:rPr>
        <w:t>but yet</w:t>
      </w:r>
      <w:proofErr w:type="gramEnd"/>
      <w:r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w:t>
      </w:r>
      <w:proofErr w:type="gramStart"/>
      <w:r w:rsidRPr="0012227E">
        <w:rPr>
          <w:lang w:val="en-US"/>
        </w:rPr>
        <w:t>guiding also</w:t>
      </w:r>
      <w:proofErr w:type="gramEnd"/>
      <w:r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6D7328"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6D7328"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6D7328"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6D7328"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xml:space="preserve">, the metrics used to analyze understanding, the notations used to map processes, when and where studies were </w:t>
            </w:r>
            <w:proofErr w:type="gramStart"/>
            <w:r w:rsidRPr="00BE3B21">
              <w:rPr>
                <w:rFonts w:eastAsia="Times New Roman"/>
                <w:sz w:val="16"/>
                <w:szCs w:val="16"/>
              </w:rPr>
              <w:t>published</w:t>
            </w:r>
            <w:proofErr w:type="gramEnd"/>
            <w:r w:rsidRPr="00BE3B21">
              <w:rPr>
                <w:rFonts w:eastAsia="Times New Roman"/>
                <w:sz w:val="16"/>
                <w:szCs w:val="16"/>
              </w:rPr>
              <w:t xml:space="preserve"> and which researchers are using eye-tracking to analyze model understanding of processes</w:t>
            </w:r>
          </w:p>
        </w:tc>
      </w:tr>
      <w:tr w:rsidR="00494C7E" w:rsidRPr="006D7328"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48EFB6D7" w:rsidR="00494C7E" w:rsidRDefault="00AB71FD" w:rsidP="00805066">
      <w:pPr>
        <w:rPr>
          <w:lang w:val="en-US"/>
        </w:rPr>
      </w:pPr>
      <w:r w:rsidRPr="00AB71FD">
        <w:rPr>
          <w:lang w:val="en-US"/>
        </w:rPr>
        <w:lastRenderedPageBreak/>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6701C">
      <w:pPr>
        <w:pStyle w:val="PargrafodaLista"/>
        <w:numPr>
          <w:ilvl w:val="0"/>
          <w:numId w:val="11"/>
        </w:numPr>
        <w:rPr>
          <w:lang w:val="en-US"/>
        </w:rPr>
      </w:pPr>
      <w:r w:rsidRPr="00BE3B21">
        <w:rPr>
          <w:lang w:val="en-US"/>
        </w:rPr>
        <w:t>RQ5: What is the profile of the subjects who used the eye 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2546F49" w:rsidR="00CF0E23" w:rsidRPr="00F001B7" w:rsidRDefault="006034F8" w:rsidP="00CF0E23">
      <w:pPr>
        <w:pStyle w:val="TableTitle"/>
        <w:rPr>
          <w:smallCaps w:val="0"/>
          <w:sz w:val="20"/>
          <w:szCs w:val="20"/>
        </w:rPr>
      </w:pPr>
      <w:bookmarkStart w:id="5" w:name="_Ref36196114"/>
      <w:r w:rsidRPr="006034F8">
        <w:rPr>
          <w:b/>
          <w:bCs/>
          <w:smallCaps w:val="0"/>
          <w:sz w:val="20"/>
          <w:szCs w:val="20"/>
        </w:rPr>
        <w:lastRenderedPageBreak/>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1648CE">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6D7328"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6D7328"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AB71FD" w:rsidRDefault="00785110" w:rsidP="001161F2">
            <w:pPr>
              <w:overflowPunct/>
              <w:autoSpaceDE/>
              <w:autoSpaceDN/>
              <w:adjustRightInd/>
              <w:ind w:firstLine="0"/>
              <w:textAlignment w:val="auto"/>
              <w:rPr>
                <w:rFonts w:ascii="Arial" w:hAnsi="Arial" w:cs="Arial"/>
                <w:sz w:val="16"/>
                <w:szCs w:val="16"/>
                <w:highlight w:val="yellow"/>
                <w:lang w:val="en-US"/>
              </w:rPr>
            </w:pPr>
            <w:r w:rsidRPr="00AB71FD">
              <w:rPr>
                <w:rFonts w:ascii="Arial" w:hAnsi="Arial" w:cs="Arial"/>
                <w:sz w:val="16"/>
                <w:szCs w:val="16"/>
                <w:highlight w:val="yellow"/>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p>
        </w:tc>
      </w:tr>
      <w:tr w:rsidR="00CF0E23" w:rsidRPr="006D7328"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6D7328"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6D7328"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6D7328"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6D7328"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lastRenderedPageBreak/>
        <w:t xml:space="preserve">(A.1.4) </w:t>
      </w:r>
      <w:r w:rsidR="00CF0E23" w:rsidRPr="00ED250C">
        <w:rPr>
          <w:lang w:val="en-US"/>
        </w:rPr>
        <w:t>Define Inclusion and Exclusion Criteria</w:t>
      </w:r>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6D7328"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6D7328"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6D7328"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6D7328"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6D7328"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6D7328"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52FEB96F" w:rsidR="00FF12CA" w:rsidRPr="00FF12CA" w:rsidRDefault="00FF12CA" w:rsidP="00F6701C">
      <w:pPr>
        <w:pStyle w:val="PargrafodaLista"/>
        <w:numPr>
          <w:ilvl w:val="0"/>
          <w:numId w:val="12"/>
        </w:numPr>
        <w:rPr>
          <w:iCs/>
          <w:lang w:val="en-US"/>
        </w:rPr>
      </w:pPr>
      <w:r w:rsidRPr="00FF12CA">
        <w:rPr>
          <w:iCs/>
          <w:lang w:val="en-US"/>
        </w:rPr>
        <w:lastRenderedPageBreak/>
        <w:t>Section 4 (optional): records the information directly associated the contributions have been reported about the application of the eye-tracker device</w:t>
      </w:r>
      <w:r w:rsidR="001648CE">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34ECD88" w:rsidR="00EB496F" w:rsidRDefault="006034F8" w:rsidP="00974078">
      <w:pPr>
        <w:pStyle w:val="TableTitle"/>
        <w:keepNext/>
        <w:spacing w:before="240"/>
        <w:rPr>
          <w:smallCaps w:val="0"/>
          <w:sz w:val="20"/>
          <w:szCs w:val="20"/>
        </w:rPr>
      </w:pPr>
      <w:bookmarkStart w:id="9"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6D7328"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6D7328"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lastRenderedPageBreak/>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6D7328"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116B64">
      <w:pPr>
        <w:spacing w:before="240"/>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lastRenderedPageBreak/>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w:t>
      </w:r>
      <w:proofErr w:type="gramStart"/>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erform</w:t>
      </w:r>
      <w:proofErr w:type="gram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2678D59A" w14:textId="7D419AB3" w:rsidR="007443DE" w:rsidRPr="003B48FD" w:rsidRDefault="007443DE" w:rsidP="001B5FAA">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w:t>
      </w:r>
      <w:r w:rsidRPr="00C04BD1">
        <w:rPr>
          <w:lang w:val="en-US"/>
        </w:rPr>
        <w:lastRenderedPageBreak/>
        <w:t>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9FD85E8" w14:textId="464CA45B"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 MERGEFORMAT </w:instrText>
      </w:r>
      <w:r w:rsidR="00522DD9" w:rsidRPr="00522DD9">
        <w:rPr>
          <w:lang w:val="en-US"/>
        </w:rPr>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 MERGEFORMAT </w:instrText>
      </w:r>
      <w:r w:rsidR="00522DD9">
        <w:rPr>
          <w:lang w:val="en-US"/>
        </w:rPr>
      </w:r>
      <w:r w:rsidR="00522DD9">
        <w:rPr>
          <w:lang w:val="en-US"/>
        </w:rPr>
        <w:fldChar w:fldCharType="separate"/>
      </w:r>
      <w:r w:rsidR="00522DD9" w:rsidRPr="00522DD9">
        <w:rPr>
          <w:lang w:val="en-US"/>
        </w:rPr>
        <w:t>Table 2</w:t>
      </w:r>
      <w:r w:rsidR="00522DD9">
        <w:rPr>
          <w:lang w:val="en-US"/>
        </w:rPr>
        <w:fldChar w:fldCharType="end"/>
      </w:r>
      <w:r w:rsidR="00522DD9">
        <w:rPr>
          <w:lang w:val="en-US"/>
        </w:rPr>
        <w:t xml:space="preserve"> </w:t>
      </w:r>
      <w:r w:rsidR="001B5FAA">
        <w:rPr>
          <w:lang w:val="en-US"/>
        </w:rPr>
        <w:t xml:space="preserve">with </w:t>
      </w:r>
      <w:r w:rsidRPr="002567F8">
        <w:rPr>
          <w:lang w:val="en-US"/>
        </w:rPr>
        <w:t xml:space="preserve">the </w:t>
      </w:r>
      <w:r w:rsidR="001B5FAA">
        <w:rPr>
          <w:lang w:val="en-US"/>
        </w:rPr>
        <w:t xml:space="preserve">distribution of </w:t>
      </w:r>
      <w:r w:rsidRPr="002567F8">
        <w:rPr>
          <w:lang w:val="en-US"/>
        </w:rPr>
        <w:t xml:space="preserve">studies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00D529E7">
        <w:rPr>
          <w:lang w:val="en-US"/>
        </w:rPr>
        <w:t xml:space="preserve"> </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Direct returned </w:t>
      </w:r>
      <w:r w:rsidRPr="008C25DE">
        <w:rPr>
          <w:lang w:val="en-US"/>
        </w:rPr>
        <w:t>502 (3</w:t>
      </w:r>
      <w:r w:rsidR="00EF6502">
        <w:rPr>
          <w:lang w:val="en-US"/>
        </w:rPr>
        <w:t>3.99</w:t>
      </w:r>
      <w:r w:rsidR="00D529E7">
        <w:rPr>
          <w:lang w:val="en-US"/>
        </w:rPr>
        <w:t xml:space="preserve"> </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D529E7">
        <w:rPr>
          <w:lang w:val="en-US"/>
        </w:rPr>
        <w:t xml:space="preserve"> </w:t>
      </w:r>
      <w:r w:rsidR="00EF6502">
        <w:rPr>
          <w:lang w:val="en-US"/>
        </w:rPr>
        <w:t>%)</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00D529E7">
        <w:rPr>
          <w:lang w:val="en-US"/>
        </w:rPr>
        <w:t xml:space="preserve"> </w:t>
      </w:r>
      <w:r w:rsidR="00EF6502">
        <w:rPr>
          <w:lang w:val="en-US"/>
        </w:rPr>
        <w:t>%)</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00D529E7">
        <w:rPr>
          <w:lang w:val="en-US"/>
        </w:rPr>
        <w:t xml:space="preserve"> </w:t>
      </w:r>
      <w:r w:rsidR="00EF6502">
        <w:rPr>
          <w:lang w:val="en-US"/>
        </w:rPr>
        <w:t>%)</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00D529E7">
        <w:rPr>
          <w:lang w:val="en-US"/>
        </w:rPr>
        <w:t xml:space="preserve"> </w:t>
      </w:r>
      <w:r w:rsidR="00EF6502">
        <w:rPr>
          <w:lang w:val="en-US"/>
        </w:rPr>
        <w:t>%)</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00D529E7">
        <w:rPr>
          <w:lang w:val="en-US"/>
        </w:rPr>
        <w:t xml:space="preserve"> </w:t>
      </w:r>
      <w:r w:rsidR="00EF6502">
        <w:rPr>
          <w:lang w:val="en-US"/>
        </w:rPr>
        <w:t>%)</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E22BF8B" w:rsidR="00A25C2A" w:rsidRPr="00312CFC" w:rsidRDefault="00E44966"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7FBF62BB" wp14:editId="009A6509">
            <wp:extent cx="4391025" cy="2200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6BF2F0A3"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25F37FF8" w14:textId="77777777" w:rsidR="007324AF" w:rsidRDefault="007324AF" w:rsidP="00E70345">
      <w:pPr>
        <w:ind w:firstLine="0"/>
        <w:rPr>
          <w:b/>
          <w:sz w:val="24"/>
          <w:lang w:val="en-US"/>
        </w:rPr>
      </w:pP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lastRenderedPageBreak/>
        <w:t xml:space="preserve">5. </w:t>
      </w:r>
      <w:r w:rsidR="00143FFE" w:rsidRPr="00371C10">
        <w:rPr>
          <w:lang w:val="en-US"/>
        </w:rPr>
        <w:t>Analyze Studies</w:t>
      </w:r>
      <w:bookmarkStart w:id="14" w:name="_Hlk9184824"/>
      <w:r w:rsidR="00021C8B" w:rsidRPr="00371C10">
        <w:rPr>
          <w:lang w:val="en-US"/>
        </w:rPr>
        <w:tab/>
      </w:r>
    </w:p>
    <w:p w14:paraId="1AF0CF3B" w14:textId="09810DC3" w:rsidR="00FC2C06" w:rsidRDefault="00E70345" w:rsidP="00E70345">
      <w:pPr>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5" w:name="_Ref37922830"/>
      <w:bookmarkStart w:id="16" w:name="_Ref37922966"/>
      <w:r w:rsidRPr="006D7328">
        <w:rPr>
          <w:b/>
          <w:bCs/>
          <w:lang w:val="en-US"/>
        </w:rPr>
        <w:lastRenderedPageBreak/>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15"/>
      <w:r w:rsidRPr="006D7328">
        <w:rPr>
          <w:lang w:val="en-US"/>
        </w:rPr>
        <w:t xml:space="preserve">. </w:t>
      </w:r>
      <w:bookmarkEnd w:id="16"/>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262BDD13"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2018; Vermeulen, 2018;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2018;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2013;</w:t>
            </w:r>
            <w:r>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2012</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41B32959"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Pr>
                <w:i/>
                <w:iCs/>
                <w:lang w:val="en-US" w:eastAsia="pt-BR"/>
              </w:rPr>
              <w:t>,</w:t>
            </w:r>
            <w:r w:rsidRPr="000E2552">
              <w:rPr>
                <w:lang w:val="en-US" w:eastAsia="pt-BR"/>
              </w:rPr>
              <w:t xml:space="preserve"> 2019;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xml:space="preserve">, 2017;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2016</w:t>
            </w:r>
          </w:p>
        </w:tc>
      </w:tr>
    </w:tbl>
    <w:p w14:paraId="0578B3F7" w14:textId="0632B01C" w:rsidR="00B55C2C" w:rsidRPr="006D7328" w:rsidRDefault="00E61AA4" w:rsidP="00FE087D">
      <w:pPr>
        <w:overflowPunct/>
        <w:autoSpaceDE/>
        <w:autoSpaceDN/>
        <w:adjustRightInd/>
        <w:spacing w:before="240"/>
        <w:ind w:firstLine="0"/>
        <w:textAlignment w:val="auto"/>
        <w:rPr>
          <w:rFonts w:ascii="Calibri" w:hAnsi="Calibri" w:cs="Calibri"/>
          <w:color w:val="000000"/>
          <w:sz w:val="22"/>
          <w:szCs w:val="22"/>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FE087D" w:rsidRPr="00404D29">
        <w:rPr>
          <w:i/>
          <w:iCs/>
          <w:color w:val="000000"/>
          <w:lang w:val="en-US"/>
        </w:rPr>
        <w:t>Engineering Village</w:t>
      </w:r>
      <w:r w:rsidR="00FE087D">
        <w:rPr>
          <w:color w:val="000000"/>
          <w:lang w:val="en-US"/>
        </w:rPr>
        <w:t xml:space="preserve">, </w:t>
      </w:r>
      <w:r w:rsidR="00FE087D" w:rsidRPr="00404D29">
        <w:rPr>
          <w:i/>
          <w:iCs/>
          <w:color w:val="000000"/>
          <w:lang w:val="en-US"/>
        </w:rPr>
        <w:t>Science Direct</w:t>
      </w:r>
      <w:r w:rsidR="00FE087D">
        <w:rPr>
          <w:color w:val="000000"/>
          <w:lang w:val="en-US"/>
        </w:rPr>
        <w:t xml:space="preserve">, </w:t>
      </w:r>
      <w:r w:rsidR="00FE087D" w:rsidRPr="00404D29">
        <w:rPr>
          <w:i/>
          <w:iCs/>
          <w:color w:val="000000"/>
          <w:lang w:val="en-US"/>
        </w:rPr>
        <w:t>Springer</w:t>
      </w:r>
      <w:r w:rsidR="00FE087D">
        <w:rPr>
          <w:color w:val="000000"/>
          <w:lang w:val="en-US"/>
        </w:rPr>
        <w:t xml:space="preserve"> </w:t>
      </w:r>
      <w:r w:rsidR="00FE087D" w:rsidRPr="00EB1B30">
        <w:rPr>
          <w:color w:val="000000"/>
          <w:lang w:val="en-US"/>
        </w:rPr>
        <w:t>returned</w:t>
      </w:r>
      <w:r w:rsidR="00FE087D">
        <w:rPr>
          <w:color w:val="000000"/>
          <w:lang w:val="en-US"/>
        </w:rPr>
        <w:t xml:space="preserve"> </w:t>
      </w:r>
      <w:proofErr w:type="spellStart"/>
      <w:r w:rsidR="00FE087D">
        <w:rPr>
          <w:color w:val="000000"/>
          <w:lang w:val="en-US"/>
        </w:rPr>
        <w:t>resturns</w:t>
      </w:r>
      <w:proofErr w:type="spellEnd"/>
      <w:r w:rsidR="00FE087D">
        <w:rPr>
          <w:color w:val="000000"/>
          <w:lang w:val="en-US"/>
        </w:rPr>
        <w:t xml:space="preserve"> 2 </w:t>
      </w:r>
      <w:r w:rsidR="008F230E">
        <w:rPr>
          <w:color w:val="000000"/>
          <w:lang w:val="en-US"/>
        </w:rPr>
        <w:t xml:space="preserve">papers. </w:t>
      </w:r>
    </w:p>
    <w:p w14:paraId="13DBAEED" w14:textId="2D91F4EC" w:rsidR="005F7741" w:rsidRPr="00E61AA4" w:rsidRDefault="00B55C2C" w:rsidP="00E61AA4">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001752" w:rsidRPr="00001752">
        <w:rPr>
          <w:lang w:val="en-US" w:eastAsia="pt-BR"/>
        </w:rPr>
        <w:t>shows the names of journals and conference and workshop proceedings of the papers along with the total numbers of papers per venue.</w:t>
      </w:r>
      <w:r w:rsidR="005F7741">
        <w:rPr>
          <w:lang w:val="en-US" w:eastAsia="pt-BR"/>
        </w:rPr>
        <w:t xml:space="preserve"> </w:t>
      </w:r>
      <w:r w:rsidR="005F7741" w:rsidRPr="00EB1B30">
        <w:rPr>
          <w:color w:val="000000"/>
          <w:lang w:val="en-US"/>
        </w:rPr>
        <w:t xml:space="preserve">The conferences with the most </w:t>
      </w:r>
      <w:r w:rsidR="005F7741">
        <w:rPr>
          <w:color w:val="000000"/>
          <w:lang w:val="en-US"/>
        </w:rPr>
        <w:t xml:space="preserve">studies </w:t>
      </w:r>
      <w:r w:rsidR="005F7741" w:rsidRPr="00EB1B30">
        <w:rPr>
          <w:color w:val="000000"/>
          <w:lang w:val="en-US"/>
        </w:rPr>
        <w:t xml:space="preserve">are </w:t>
      </w:r>
      <w:r w:rsidR="005F7741" w:rsidRPr="00404D29">
        <w:rPr>
          <w:i/>
          <w:iCs/>
          <w:color w:val="000000"/>
          <w:lang w:val="en-US"/>
        </w:rPr>
        <w:t>International Conference on Business Process Management</w:t>
      </w:r>
      <w:r w:rsidR="005F7741" w:rsidRPr="00EB1B30">
        <w:rPr>
          <w:color w:val="000000"/>
          <w:lang w:val="en-US"/>
        </w:rPr>
        <w:t xml:space="preserve"> with three studies. </w:t>
      </w:r>
      <w:r w:rsidR="00E61AA4" w:rsidRPr="00E61AA4">
        <w:rPr>
          <w:color w:val="000000"/>
          <w:lang w:val="en-US"/>
        </w:rPr>
        <w:t xml:space="preserve">The five papers were published in five different newspapers. </w:t>
      </w:r>
      <w:r w:rsidR="00E61AA4" w:rsidRPr="00404D29">
        <w:rPr>
          <w:i/>
          <w:iCs/>
          <w:color w:val="000000"/>
          <w:lang w:val="en-US"/>
        </w:rPr>
        <w:t>Decision Support Systems</w:t>
      </w:r>
      <w:r w:rsidR="00E61AA4" w:rsidRPr="00E61AA4">
        <w:rPr>
          <w:color w:val="000000"/>
          <w:lang w:val="en-US"/>
        </w:rPr>
        <w:t xml:space="preserve">, </w:t>
      </w:r>
      <w:r w:rsidR="00E61AA4" w:rsidRPr="00404D29">
        <w:rPr>
          <w:i/>
          <w:iCs/>
          <w:color w:val="000000"/>
          <w:lang w:val="en-US"/>
        </w:rPr>
        <w:t xml:space="preserve">Expert </w:t>
      </w:r>
      <w:r w:rsidR="00DB36B8" w:rsidRPr="00404D29">
        <w:rPr>
          <w:i/>
          <w:iCs/>
          <w:color w:val="000000"/>
          <w:lang w:val="en-US"/>
        </w:rPr>
        <w:t xml:space="preserve">Systems </w:t>
      </w:r>
      <w:r w:rsidR="00E61AA4" w:rsidRPr="00404D29">
        <w:rPr>
          <w:i/>
          <w:iCs/>
          <w:color w:val="000000"/>
          <w:lang w:val="en-US"/>
        </w:rPr>
        <w:t xml:space="preserve">with </w:t>
      </w:r>
      <w:r w:rsidR="00DB36B8" w:rsidRPr="00404D29">
        <w:rPr>
          <w:i/>
          <w:iCs/>
          <w:color w:val="000000"/>
          <w:lang w:val="en-US"/>
        </w:rPr>
        <w:t>Applications</w:t>
      </w:r>
      <w:r w:rsidR="00DB36B8" w:rsidRPr="00E61AA4">
        <w:rPr>
          <w:color w:val="000000"/>
          <w:lang w:val="en-US"/>
        </w:rPr>
        <w:t xml:space="preserve"> </w:t>
      </w:r>
      <w:r w:rsidR="00E61AA4" w:rsidRPr="00E61AA4">
        <w:rPr>
          <w:color w:val="000000"/>
          <w:lang w:val="en-US"/>
        </w:rPr>
        <w:t xml:space="preserve">and </w:t>
      </w:r>
      <w:r w:rsidR="00E61AA4" w:rsidRPr="00404D29">
        <w:rPr>
          <w:i/>
          <w:iCs/>
          <w:color w:val="000000"/>
          <w:lang w:val="en-US"/>
        </w:rPr>
        <w:t xml:space="preserve">Mis </w:t>
      </w:r>
      <w:r w:rsidR="00DB36B8" w:rsidRPr="00404D29">
        <w:rPr>
          <w:i/>
          <w:iCs/>
          <w:color w:val="000000"/>
          <w:lang w:val="en-US"/>
        </w:rPr>
        <w:t>Quarterly</w:t>
      </w:r>
      <w:r w:rsidR="00E61AA4" w:rsidRPr="00E61AA4">
        <w:rPr>
          <w:color w:val="000000"/>
          <w:lang w:val="en-US"/>
        </w:rPr>
        <w:t>, with the highest Q1 score according to the SJR.</w:t>
      </w:r>
    </w:p>
    <w:p w14:paraId="2E433877" w14:textId="7871178A" w:rsidR="002B0FA9" w:rsidRDefault="005F7741" w:rsidP="005F7741">
      <w:pPr>
        <w:spacing w:before="240"/>
        <w:jc w:val="center"/>
        <w:rPr>
          <w:lang w:val="en-US" w:eastAsia="pt-BR"/>
        </w:rPr>
      </w:pPr>
      <w:bookmarkStart w:id="17"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type of publication</w:t>
      </w:r>
      <w:r>
        <w:rPr>
          <w:lang w:val="en-US"/>
        </w:rPr>
        <w:t>.</w:t>
      </w:r>
      <w:bookmarkEnd w:id="17"/>
    </w:p>
    <w:tbl>
      <w:tblPr>
        <w:tblStyle w:val="TabelaSimples12"/>
        <w:tblW w:w="6608"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410"/>
        <w:gridCol w:w="1343"/>
        <w:gridCol w:w="783"/>
        <w:gridCol w:w="2072"/>
      </w:tblGrid>
      <w:tr w:rsidR="00A22C59" w:rsidRPr="00383A02" w14:paraId="2C7547EE" w14:textId="77777777" w:rsidTr="005A664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343"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83"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072"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5A664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2A553E85" w14:textId="740BCC9F"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Data &amp; </w:t>
            </w:r>
            <w:proofErr w:type="spellStart"/>
            <w:r w:rsidRPr="00394434">
              <w:rPr>
                <w:rFonts w:ascii="Calibri" w:hAnsi="Calibri" w:cs="Calibri"/>
                <w:color w:val="000000"/>
                <w:sz w:val="18"/>
                <w:szCs w:val="18"/>
              </w:rPr>
              <w:t>knowledge</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engineering</w:t>
            </w:r>
            <w:proofErr w:type="spellEnd"/>
          </w:p>
        </w:tc>
        <w:tc>
          <w:tcPr>
            <w:tcW w:w="1343"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hideMark/>
          </w:tcPr>
          <w:p w14:paraId="3C3201D3" w14:textId="53E42D30"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et al. 2019</w:t>
            </w:r>
          </w:p>
        </w:tc>
      </w:tr>
      <w:tr w:rsidR="00A22C59" w:rsidRPr="00383A02" w14:paraId="7436E2B0"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E4594E7" w14:textId="5BD5A5E9"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Decision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Support</w:t>
            </w:r>
            <w:proofErr w:type="spellEnd"/>
            <w:r w:rsidRPr="00394434">
              <w:rPr>
                <w:rFonts w:ascii="Calibri" w:hAnsi="Calibri" w:cs="Calibri"/>
                <w:color w:val="000000"/>
                <w:sz w:val="18"/>
                <w:szCs w:val="18"/>
              </w:rPr>
              <w:t xml:space="preserve"> Systems</w:t>
            </w:r>
          </w:p>
        </w:tc>
        <w:tc>
          <w:tcPr>
            <w:tcW w:w="1343"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7B6F3450" w14:textId="2C209805"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et al., 2017</w:t>
            </w:r>
          </w:p>
        </w:tc>
      </w:tr>
      <w:tr w:rsidR="00A22C59" w:rsidRPr="00383A02" w14:paraId="05A37651"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EA88762" w14:textId="080640E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Expert systems </w:t>
            </w:r>
            <w:proofErr w:type="spellStart"/>
            <w:r w:rsidRPr="00394434">
              <w:rPr>
                <w:rFonts w:ascii="Calibri" w:hAnsi="Calibri" w:cs="Calibri"/>
                <w:color w:val="000000"/>
                <w:sz w:val="18"/>
                <w:szCs w:val="18"/>
              </w:rPr>
              <w:t>with</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applications</w:t>
            </w:r>
            <w:proofErr w:type="spellEnd"/>
          </w:p>
        </w:tc>
        <w:tc>
          <w:tcPr>
            <w:tcW w:w="1343"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710FC91E" w14:textId="0BED386C"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et al., 2019</w:t>
            </w:r>
          </w:p>
        </w:tc>
      </w:tr>
      <w:tr w:rsidR="00A22C59" w:rsidRPr="00383A02" w14:paraId="582C2672"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5172E63" w14:textId="0A6EE9A7"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Information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and</w:t>
            </w:r>
            <w:proofErr w:type="spellEnd"/>
            <w:r w:rsidRPr="00394434">
              <w:rPr>
                <w:rFonts w:ascii="Calibri" w:hAnsi="Calibri" w:cs="Calibri"/>
                <w:color w:val="000000"/>
                <w:sz w:val="18"/>
                <w:szCs w:val="18"/>
              </w:rPr>
              <w:t xml:space="preserve"> Software Technology</w:t>
            </w:r>
          </w:p>
        </w:tc>
        <w:tc>
          <w:tcPr>
            <w:tcW w:w="1343"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639EA4FB" w14:textId="4468056D"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r w:rsidR="00A22C59" w:rsidRPr="00383A02" w14:paraId="49E6C8C0"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79BEAE8" w14:textId="3FF4733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Mis </w:t>
            </w:r>
            <w:proofErr w:type="spellStart"/>
            <w:r w:rsidRPr="00394434">
              <w:rPr>
                <w:rFonts w:ascii="Calibri" w:hAnsi="Calibri" w:cs="Calibri"/>
                <w:color w:val="000000"/>
                <w:sz w:val="18"/>
                <w:szCs w:val="18"/>
              </w:rPr>
              <w:t>quarterly</w:t>
            </w:r>
            <w:proofErr w:type="spellEnd"/>
          </w:p>
        </w:tc>
        <w:tc>
          <w:tcPr>
            <w:tcW w:w="1343"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19FE3FEB" w14:textId="0B11FC62"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et al. 2019</w:t>
            </w:r>
          </w:p>
        </w:tc>
      </w:tr>
      <w:tr w:rsidR="00A22C59" w:rsidRPr="00383A02" w14:paraId="1A2E2793"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2307D45" w14:textId="77777777" w:rsidR="005A6645"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proofErr w:type="spellStart"/>
            <w:r w:rsidRPr="00394434">
              <w:rPr>
                <w:rFonts w:ascii="Calibri" w:hAnsi="Calibri" w:cs="Calibri"/>
                <w:color w:val="000000"/>
                <w:sz w:val="18"/>
                <w:szCs w:val="18"/>
              </w:rPr>
              <w:t>Lecture</w:t>
            </w:r>
            <w:proofErr w:type="spellEnd"/>
            <w:r w:rsidRPr="00394434">
              <w:rPr>
                <w:rFonts w:ascii="Calibri" w:hAnsi="Calibri" w:cs="Calibri"/>
                <w:color w:val="000000"/>
                <w:sz w:val="18"/>
                <w:szCs w:val="18"/>
              </w:rPr>
              <w:t xml:space="preserve"> Notes in Computer </w:t>
            </w:r>
          </w:p>
          <w:p w14:paraId="60EE34B8" w14:textId="07B0516D" w:rsidR="00A22C59"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r w:rsidRPr="00394434">
              <w:rPr>
                <w:rFonts w:ascii="Calibri" w:hAnsi="Calibri" w:cs="Calibri"/>
                <w:color w:val="000000"/>
                <w:sz w:val="18"/>
                <w:szCs w:val="18"/>
              </w:rPr>
              <w:t>Science</w:t>
            </w:r>
          </w:p>
          <w:p w14:paraId="0A67188E" w14:textId="07684606"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
        </w:tc>
        <w:tc>
          <w:tcPr>
            <w:tcW w:w="1343" w:type="dxa"/>
            <w:vAlign w:val="center"/>
          </w:tcPr>
          <w:p w14:paraId="52FF232B" w14:textId="6F0BCE40"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Conference</w:t>
            </w:r>
            <w:proofErr w:type="spellEnd"/>
          </w:p>
        </w:tc>
        <w:tc>
          <w:tcPr>
            <w:tcW w:w="783" w:type="dxa"/>
            <w:vAlign w:val="center"/>
          </w:tcPr>
          <w:p w14:paraId="3025C6D8" w14:textId="4132C011"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2</w:t>
            </w:r>
          </w:p>
        </w:tc>
        <w:tc>
          <w:tcPr>
            <w:tcW w:w="2072" w:type="dxa"/>
            <w:vAlign w:val="center"/>
          </w:tcPr>
          <w:p w14:paraId="1244F020" w14:textId="77777777"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Vermeulen, 2018</w:t>
            </w:r>
          </w:p>
          <w:p w14:paraId="344A1C58" w14:textId="7E20EF0A"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and </w:t>
            </w:r>
            <w:proofErr w:type="spellStart"/>
            <w:r w:rsidRPr="00394434">
              <w:rPr>
                <w:sz w:val="18"/>
                <w:szCs w:val="18"/>
                <w:lang w:val="en-US" w:eastAsia="pt-BR"/>
              </w:rPr>
              <w:t>Mendling</w:t>
            </w:r>
            <w:proofErr w:type="spellEnd"/>
            <w:r w:rsidRPr="00394434">
              <w:rPr>
                <w:sz w:val="18"/>
                <w:szCs w:val="18"/>
                <w:lang w:val="en-US" w:eastAsia="pt-BR"/>
              </w:rPr>
              <w:t xml:space="preserve">, 2013 </w:t>
            </w:r>
          </w:p>
        </w:tc>
      </w:tr>
      <w:tr w:rsidR="00A22C59" w:rsidRPr="00383A02" w14:paraId="6CD34E65"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B04A8E9" w14:textId="77777777" w:rsidR="005A6645" w:rsidRPr="00DB36B8" w:rsidRDefault="00A22C59" w:rsidP="002B0FA9">
            <w:pPr>
              <w:overflowPunct/>
              <w:autoSpaceDE/>
              <w:autoSpaceDN/>
              <w:adjustRightInd/>
              <w:ind w:firstLine="0"/>
              <w:jc w:val="center"/>
              <w:textAlignment w:val="auto"/>
              <w:rPr>
                <w:rFonts w:ascii="Calibri" w:hAnsi="Calibri" w:cs="Calibri"/>
                <w:b w:val="0"/>
                <w:bCs w:val="0"/>
                <w:color w:val="000000"/>
                <w:sz w:val="18"/>
                <w:szCs w:val="18"/>
                <w:lang w:val="en-US"/>
              </w:rPr>
            </w:pPr>
            <w:r w:rsidRPr="00DB36B8">
              <w:rPr>
                <w:rFonts w:ascii="Calibri" w:hAnsi="Calibri" w:cs="Calibri"/>
                <w:color w:val="000000"/>
                <w:sz w:val="18"/>
                <w:szCs w:val="18"/>
                <w:lang w:val="en-US"/>
              </w:rPr>
              <w:t xml:space="preserve">International Conference on </w:t>
            </w:r>
          </w:p>
          <w:p w14:paraId="35C7CF0C" w14:textId="41E28B3E" w:rsidR="00A22C59" w:rsidRPr="00DB36B8" w:rsidRDefault="00A22C59" w:rsidP="002B0FA9">
            <w:pPr>
              <w:overflowPunct/>
              <w:autoSpaceDE/>
              <w:autoSpaceDN/>
              <w:adjustRightInd/>
              <w:ind w:firstLine="0"/>
              <w:jc w:val="center"/>
              <w:textAlignment w:val="auto"/>
              <w:rPr>
                <w:rFonts w:ascii="Calibri" w:hAnsi="Calibri" w:cs="Calibri"/>
                <w:color w:val="000000"/>
                <w:sz w:val="18"/>
                <w:szCs w:val="18"/>
                <w:lang w:val="en-US"/>
              </w:rPr>
            </w:pPr>
            <w:r w:rsidRPr="00DB36B8">
              <w:rPr>
                <w:rFonts w:ascii="Calibri" w:hAnsi="Calibri" w:cs="Calibri"/>
                <w:color w:val="000000"/>
                <w:sz w:val="18"/>
                <w:szCs w:val="18"/>
                <w:lang w:val="en-US"/>
              </w:rPr>
              <w:t>Business Process Management</w:t>
            </w:r>
          </w:p>
        </w:tc>
        <w:tc>
          <w:tcPr>
            <w:tcW w:w="1343" w:type="dxa"/>
            <w:vAlign w:val="center"/>
          </w:tcPr>
          <w:p w14:paraId="71C2A22B" w14:textId="08864C71"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Conference</w:t>
            </w:r>
            <w:proofErr w:type="spellEnd"/>
          </w:p>
        </w:tc>
        <w:tc>
          <w:tcPr>
            <w:tcW w:w="783" w:type="dxa"/>
            <w:vAlign w:val="center"/>
          </w:tcPr>
          <w:p w14:paraId="4D5ED155" w14:textId="20F4FE0B"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3</w:t>
            </w:r>
          </w:p>
        </w:tc>
        <w:tc>
          <w:tcPr>
            <w:tcW w:w="2072" w:type="dxa"/>
            <w:vAlign w:val="center"/>
          </w:tcPr>
          <w:p w14:paraId="26F05022"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Zimoch</w:t>
            </w:r>
            <w:proofErr w:type="spellEnd"/>
            <w:r w:rsidRPr="00394434">
              <w:rPr>
                <w:sz w:val="18"/>
                <w:szCs w:val="18"/>
                <w:lang w:val="en-US" w:eastAsia="pt-BR"/>
              </w:rPr>
              <w:t xml:space="preserve"> et al. 2018</w:t>
            </w:r>
          </w:p>
          <w:p w14:paraId="6C3EDF7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Pinggera</w:t>
            </w:r>
            <w:proofErr w:type="spellEnd"/>
            <w:r w:rsidRPr="00394434">
              <w:rPr>
                <w:sz w:val="18"/>
                <w:szCs w:val="18"/>
                <w:lang w:val="en-US" w:eastAsia="pt-BR"/>
              </w:rPr>
              <w:t xml:space="preserve"> et al., 2012</w:t>
            </w:r>
          </w:p>
          <w:p w14:paraId="499178C7" w14:textId="507F608C"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bl>
    <w:p w14:paraId="1CEDC368" w14:textId="02A71AD0" w:rsidR="00FC2B99" w:rsidRPr="00FC2B99" w:rsidRDefault="00B55C2C" w:rsidP="00FC2B99">
      <w:pPr>
        <w:pStyle w:val="p1a"/>
        <w:spacing w:before="240"/>
        <w:rPr>
          <w:lang w:val="en-US"/>
        </w:rPr>
      </w:pPr>
      <w:r>
        <w:rPr>
          <w:lang w:val="en-US"/>
        </w:rPr>
        <w:tab/>
      </w:r>
      <w:r w:rsidR="0049363B" w:rsidRPr="00EB1B30">
        <w:rPr>
          <w:lang w:val="en-US"/>
        </w:rPr>
        <w:t>To understand which studies are most relevant, we observed the number of citations of the selected papers as</w:t>
      </w:r>
      <w:r w:rsidR="0049363B">
        <w:rPr>
          <w:lang w:val="en-US"/>
        </w:rPr>
        <w:t xml:space="preserve"> it</w:t>
      </w:r>
      <w:r w:rsidR="0049363B" w:rsidRPr="00EB1B30">
        <w:rPr>
          <w:lang w:val="en-US"/>
        </w:rPr>
        <w:t xml:space="preserve"> can be seen in</w:t>
      </w:r>
      <w:r w:rsidR="00FC2B99">
        <w:rPr>
          <w:lang w:val="en-US"/>
        </w:rPr>
        <w:t xml:space="preserve"> </w:t>
      </w:r>
      <w:r w:rsidR="00FC2B99">
        <w:rPr>
          <w:lang w:val="en-US"/>
        </w:rPr>
        <w:fldChar w:fldCharType="begin"/>
      </w:r>
      <w:r w:rsidR="00FC2B99">
        <w:rPr>
          <w:lang w:val="en-US"/>
        </w:rPr>
        <w:instrText xml:space="preserve"> REF _Ref37928644 \h </w:instrText>
      </w:r>
      <w:r w:rsidR="00FC2B99">
        <w:rPr>
          <w:lang w:val="en-US"/>
        </w:rPr>
      </w:r>
      <w:r w:rsidR="00FC2B99">
        <w:rPr>
          <w:lang w:val="en-US"/>
        </w:rPr>
        <w:fldChar w:fldCharType="separate"/>
      </w:r>
      <w:r w:rsidR="00666C90" w:rsidRPr="00FC2B99">
        <w:rPr>
          <w:color w:val="000000"/>
          <w:lang w:val="en-US" w:eastAsia="pt-BR"/>
        </w:rPr>
        <w:t xml:space="preserve">Figure </w:t>
      </w:r>
      <w:r w:rsidR="00666C90" w:rsidRPr="00FC2B99">
        <w:rPr>
          <w:noProof/>
          <w:color w:val="000000"/>
          <w:lang w:val="en-US" w:eastAsia="pt-BR"/>
        </w:rPr>
        <w:t>9</w:t>
      </w:r>
      <w:r w:rsidR="00FC2B99">
        <w:rPr>
          <w:lang w:val="en-US"/>
        </w:rPr>
        <w:fldChar w:fldCharType="end"/>
      </w:r>
      <w:r w:rsidR="0049363B">
        <w:rPr>
          <w:lang w:val="en-US"/>
        </w:rPr>
        <w:t>,</w:t>
      </w:r>
      <w:r w:rsidR="0049363B" w:rsidRPr="00EB1B30">
        <w:rPr>
          <w:lang w:val="en-US"/>
        </w:rPr>
        <w:t xml:space="preserve"> </w:t>
      </w:r>
      <w:r w:rsidR="0049363B">
        <w:rPr>
          <w:lang w:val="en-US"/>
        </w:rPr>
        <w:t xml:space="preserve">from </w:t>
      </w:r>
      <w:r w:rsidR="0049363B" w:rsidRPr="00EB1B30">
        <w:rPr>
          <w:lang w:val="en-US"/>
        </w:rPr>
        <w:t>the 1</w:t>
      </w:r>
      <w:r w:rsidR="00FC2B99">
        <w:rPr>
          <w:lang w:val="en-US"/>
        </w:rPr>
        <w:t>0</w:t>
      </w:r>
      <w:r w:rsidR="0049363B" w:rsidRPr="00EB1B30">
        <w:rPr>
          <w:lang w:val="en-US"/>
        </w:rPr>
        <w:t xml:space="preserve"> </w:t>
      </w:r>
      <w:r w:rsidR="00FC2B99">
        <w:rPr>
          <w:lang w:val="en-US"/>
        </w:rPr>
        <w:t>selected studies</w:t>
      </w:r>
      <w:r w:rsidR="0049363B" w:rsidRPr="00EB1B30">
        <w:rPr>
          <w:lang w:val="en-US"/>
        </w:rPr>
        <w:t xml:space="preserve"> </w:t>
      </w:r>
      <w:r w:rsidR="0049363B">
        <w:rPr>
          <w:lang w:val="en-US"/>
        </w:rPr>
        <w:t>there are</w:t>
      </w:r>
      <w:r w:rsidR="0049363B" w:rsidRPr="00EB1B30">
        <w:rPr>
          <w:lang w:val="en-US"/>
        </w:rPr>
        <w:t xml:space="preserve"> a total of 12</w:t>
      </w:r>
      <w:r w:rsidR="00FC2B99">
        <w:rPr>
          <w:lang w:val="en-US"/>
        </w:rPr>
        <w:t>5</w:t>
      </w:r>
      <w:r w:rsidR="0049363B" w:rsidRPr="00EB1B30">
        <w:rPr>
          <w:lang w:val="en-US"/>
        </w:rPr>
        <w:t xml:space="preserve"> quotes. </w:t>
      </w:r>
      <w:r w:rsidR="00FC2B99">
        <w:rPr>
          <w:lang w:val="en-US"/>
        </w:rPr>
        <w:t>Papers</w:t>
      </w:r>
      <w:r w:rsidR="00FC2B99" w:rsidRPr="00A27A69">
        <w:rPr>
          <w:lang w:val="en-US"/>
        </w:rPr>
        <w:t xml:space="preserve"> </w:t>
      </w:r>
      <w:proofErr w:type="spellStart"/>
      <w:r w:rsidR="00FC2B99" w:rsidRPr="00FC2B99">
        <w:rPr>
          <w:lang w:val="en-US"/>
        </w:rPr>
        <w:t>Pinggera</w:t>
      </w:r>
      <w:proofErr w:type="spellEnd"/>
      <w:r w:rsidR="00FC2B99" w:rsidRPr="00FC2B99">
        <w:rPr>
          <w:lang w:val="en-US"/>
        </w:rPr>
        <w:t xml:space="preserve"> et al. </w:t>
      </w:r>
      <w:r w:rsidR="00CE0500">
        <w:rPr>
          <w:lang w:val="en-US"/>
        </w:rPr>
        <w:t>(</w:t>
      </w:r>
      <w:r w:rsidR="00FC2B99" w:rsidRPr="00FC2B99">
        <w:rPr>
          <w:lang w:val="en-US"/>
        </w:rPr>
        <w:t>2012</w:t>
      </w:r>
      <w:r w:rsidR="00CE0500">
        <w:rPr>
          <w:lang w:val="en-US"/>
        </w:rPr>
        <w:t>)</w:t>
      </w:r>
      <w:r w:rsidR="00FC2B99">
        <w:rPr>
          <w:lang w:val="en-US"/>
        </w:rPr>
        <w:t xml:space="preserve">, </w:t>
      </w:r>
      <w:proofErr w:type="spellStart"/>
      <w:r w:rsidR="00FC2B99" w:rsidRPr="00FC2B99">
        <w:rPr>
          <w:lang w:val="en-US"/>
        </w:rPr>
        <w:t>Petrusel</w:t>
      </w:r>
      <w:proofErr w:type="spellEnd"/>
      <w:r w:rsidR="00FC2B99" w:rsidRPr="00FC2B99">
        <w:rPr>
          <w:lang w:val="en-US"/>
        </w:rPr>
        <w:t xml:space="preserve"> and </w:t>
      </w:r>
      <w:proofErr w:type="spellStart"/>
      <w:r w:rsidR="00FC2B99" w:rsidRPr="00FC2B99">
        <w:rPr>
          <w:lang w:val="en-US"/>
        </w:rPr>
        <w:t>Mendling</w:t>
      </w:r>
      <w:proofErr w:type="spellEnd"/>
      <w:r w:rsidR="00FC2B99" w:rsidRPr="00FC2B99">
        <w:rPr>
          <w:lang w:val="en-US"/>
        </w:rPr>
        <w:t xml:space="preserve"> </w:t>
      </w:r>
      <w:r w:rsidR="00CE0500">
        <w:rPr>
          <w:lang w:val="en-US"/>
        </w:rPr>
        <w:t>(</w:t>
      </w:r>
      <w:r w:rsidR="00FC2B99" w:rsidRPr="00FC2B99">
        <w:rPr>
          <w:lang w:val="en-US"/>
        </w:rPr>
        <w:t>2013</w:t>
      </w:r>
      <w:r w:rsidR="00CE0500">
        <w:rPr>
          <w:lang w:val="en-US"/>
        </w:rPr>
        <w:t>)</w:t>
      </w:r>
      <w:r w:rsidR="00FC2B99">
        <w:rPr>
          <w:lang w:val="en-US"/>
        </w:rPr>
        <w:t xml:space="preserve">, </w:t>
      </w:r>
      <w:proofErr w:type="spellStart"/>
      <w:r w:rsidR="00FC2B99" w:rsidRPr="00FC2B99">
        <w:rPr>
          <w:lang w:val="en-US"/>
        </w:rPr>
        <w:t>Petrusel</w:t>
      </w:r>
      <w:proofErr w:type="spellEnd"/>
      <w:r w:rsidR="00FC2B99" w:rsidRPr="00FC2B99">
        <w:rPr>
          <w:lang w:val="en-US"/>
        </w:rPr>
        <w:t xml:space="preserve"> et al. </w:t>
      </w:r>
      <w:r w:rsidR="00CE0500">
        <w:rPr>
          <w:lang w:val="en-US"/>
        </w:rPr>
        <w:t>(</w:t>
      </w:r>
      <w:r w:rsidR="00FC2B99" w:rsidRPr="00FC2B99">
        <w:rPr>
          <w:lang w:val="en-US"/>
        </w:rPr>
        <w:t>2017</w:t>
      </w:r>
      <w:r w:rsidR="00CE0500">
        <w:rPr>
          <w:lang w:val="en-US"/>
        </w:rPr>
        <w:t>)</w:t>
      </w:r>
      <w:r w:rsidR="00FC2B99">
        <w:rPr>
          <w:lang w:val="en-US"/>
        </w:rPr>
        <w:t xml:space="preserve"> and </w:t>
      </w:r>
      <w:r w:rsidR="00FC2B99" w:rsidRPr="00FC2B99">
        <w:rPr>
          <w:lang w:val="en-US"/>
        </w:rPr>
        <w:t xml:space="preserve">Chen et al. </w:t>
      </w:r>
      <w:r w:rsidR="00CE0500">
        <w:rPr>
          <w:lang w:val="en-US"/>
        </w:rPr>
        <w:t>(</w:t>
      </w:r>
      <w:r w:rsidR="00FC2B99" w:rsidRPr="00FC2B99">
        <w:rPr>
          <w:lang w:val="en-US"/>
        </w:rPr>
        <w:t>2018</w:t>
      </w:r>
      <w:r w:rsidR="00CE0500">
        <w:rPr>
          <w:lang w:val="en-US"/>
        </w:rPr>
        <w:t>)</w:t>
      </w:r>
      <w:r w:rsidR="00FC2B99" w:rsidRPr="00EB1B30">
        <w:rPr>
          <w:lang w:val="en-US"/>
        </w:rPr>
        <w:t xml:space="preserve"> are the most popular accounting for </w:t>
      </w:r>
      <w:r w:rsidR="00FC2B99">
        <w:rPr>
          <w:lang w:val="en-US"/>
        </w:rPr>
        <w:t>88.00</w:t>
      </w:r>
      <w:r w:rsidR="00FC2B99" w:rsidRPr="00EB1B30">
        <w:rPr>
          <w:lang w:val="en-US"/>
        </w:rPr>
        <w:t>% of citations. The paper</w:t>
      </w:r>
      <w:r w:rsidR="00FC2B99">
        <w:rPr>
          <w:lang w:val="en-US"/>
        </w:rPr>
        <w:t xml:space="preserve"> </w:t>
      </w:r>
      <w:proofErr w:type="spellStart"/>
      <w:r w:rsidR="00FC2B99" w:rsidRPr="00FC2B99">
        <w:rPr>
          <w:lang w:val="en-US"/>
        </w:rPr>
        <w:t>Pinggera</w:t>
      </w:r>
      <w:proofErr w:type="spellEnd"/>
      <w:r w:rsidR="00FC2B99" w:rsidRPr="00FC2B99">
        <w:rPr>
          <w:lang w:val="en-US"/>
        </w:rPr>
        <w:t xml:space="preserve"> et al. </w:t>
      </w:r>
      <w:r w:rsidR="00CE0500">
        <w:rPr>
          <w:lang w:val="en-US"/>
        </w:rPr>
        <w:t>(</w:t>
      </w:r>
      <w:r w:rsidR="00FC2B99" w:rsidRPr="00FC2B99">
        <w:rPr>
          <w:lang w:val="en-US"/>
        </w:rPr>
        <w:t>2012</w:t>
      </w:r>
      <w:r w:rsidR="00CE0500">
        <w:rPr>
          <w:lang w:val="en-US"/>
        </w:rPr>
        <w:t>)</w:t>
      </w:r>
      <w:r w:rsidR="00FC2B99" w:rsidRPr="00EB1B30">
        <w:rPr>
          <w:lang w:val="en-US"/>
        </w:rPr>
        <w:t xml:space="preserve"> has 3</w:t>
      </w:r>
      <w:r w:rsidR="00FC2B99">
        <w:rPr>
          <w:lang w:val="en-US"/>
        </w:rPr>
        <w:t>6</w:t>
      </w:r>
      <w:r w:rsidR="00FC2B99" w:rsidRPr="00EB1B30">
        <w:rPr>
          <w:lang w:val="en-US"/>
        </w:rPr>
        <w:t xml:space="preserve"> citations, and this may be due to the pioneering nature of this study, being published in 2012. The works </w:t>
      </w:r>
      <w:proofErr w:type="spellStart"/>
      <w:r w:rsidRPr="00B55C2C">
        <w:rPr>
          <w:lang w:val="en-US"/>
        </w:rPr>
        <w:t>Tallon</w:t>
      </w:r>
      <w:proofErr w:type="spellEnd"/>
      <w:r w:rsidRPr="00B55C2C">
        <w:rPr>
          <w:lang w:val="en-US"/>
        </w:rPr>
        <w:t xml:space="preserve"> et al. </w:t>
      </w:r>
      <w:r w:rsidR="00D62D73">
        <w:rPr>
          <w:lang w:val="en-US"/>
        </w:rPr>
        <w:t>(</w:t>
      </w:r>
      <w:r w:rsidRPr="00B55C2C">
        <w:rPr>
          <w:lang w:val="en-US"/>
        </w:rPr>
        <w:t>2019</w:t>
      </w:r>
      <w:r w:rsidR="00D62D73">
        <w:rPr>
          <w:lang w:val="en-US"/>
        </w:rPr>
        <w:t>)</w:t>
      </w:r>
      <w:r w:rsidRPr="00B55C2C">
        <w:rPr>
          <w:lang w:val="en-US"/>
        </w:rPr>
        <w:t xml:space="preserve">, Vermeulen, </w:t>
      </w:r>
      <w:r w:rsidR="00D62D73">
        <w:rPr>
          <w:lang w:val="en-US"/>
        </w:rPr>
        <w:t>(</w:t>
      </w:r>
      <w:r w:rsidRPr="00B55C2C">
        <w:rPr>
          <w:lang w:val="en-US"/>
        </w:rPr>
        <w:t>2018</w:t>
      </w:r>
      <w:r w:rsidR="00D62D73">
        <w:rPr>
          <w:lang w:val="en-US"/>
        </w:rPr>
        <w:t>)</w:t>
      </w:r>
      <w:r>
        <w:rPr>
          <w:lang w:val="en-US"/>
        </w:rPr>
        <w:t xml:space="preserve"> and</w:t>
      </w:r>
      <w:r w:rsidRPr="00B55C2C">
        <w:rPr>
          <w:lang w:val="en-US"/>
        </w:rPr>
        <w:t xml:space="preserve"> </w:t>
      </w:r>
      <w:proofErr w:type="spellStart"/>
      <w:r w:rsidRPr="00B55C2C">
        <w:rPr>
          <w:lang w:val="en-US"/>
        </w:rPr>
        <w:t>Bera</w:t>
      </w:r>
      <w:proofErr w:type="spellEnd"/>
      <w:r w:rsidRPr="00B55C2C">
        <w:rPr>
          <w:lang w:val="en-US"/>
        </w:rPr>
        <w:t xml:space="preserve"> et al. </w:t>
      </w:r>
      <w:r w:rsidR="00D62D73">
        <w:rPr>
          <w:lang w:val="en-US"/>
        </w:rPr>
        <w:t>(</w:t>
      </w:r>
      <w:r w:rsidRPr="00B55C2C">
        <w:rPr>
          <w:lang w:val="en-US"/>
        </w:rPr>
        <w:t>2019</w:t>
      </w:r>
      <w:r w:rsidR="00D62D73">
        <w:rPr>
          <w:lang w:val="en-US"/>
        </w:rPr>
        <w:t>)</w:t>
      </w:r>
      <w:r w:rsidR="00FC2B99" w:rsidRPr="00EB1B30">
        <w:rPr>
          <w:lang w:val="en-US"/>
        </w:rPr>
        <w:t xml:space="preserve"> </w:t>
      </w:r>
      <w:r w:rsidR="00FC2B99" w:rsidRPr="00A27A69">
        <w:rPr>
          <w:lang w:val="en-US"/>
        </w:rPr>
        <w:t xml:space="preserve">have </w:t>
      </w:r>
      <w:r>
        <w:rPr>
          <w:lang w:val="en-US"/>
        </w:rPr>
        <w:t>only one</w:t>
      </w:r>
      <w:r w:rsidR="00FC2B99" w:rsidRPr="00A27A69">
        <w:rPr>
          <w:lang w:val="en-US"/>
        </w:rPr>
        <w:t xml:space="preserve"> citation, being less popular perhaps because they </w:t>
      </w:r>
      <w:r w:rsidR="00FC2B99">
        <w:rPr>
          <w:lang w:val="en-US"/>
        </w:rPr>
        <w:t>were</w:t>
      </w:r>
      <w:r w:rsidR="00FC2B99" w:rsidRPr="00A27A69">
        <w:rPr>
          <w:lang w:val="en-US"/>
        </w:rPr>
        <w:t xml:space="preserve"> published in more recent years</w:t>
      </w:r>
      <w:r w:rsidR="00FC2B99" w:rsidRPr="00EB1B30">
        <w:rPr>
          <w:lang w:val="en-US"/>
        </w:rPr>
        <w:t>.</w:t>
      </w:r>
    </w:p>
    <w:p w14:paraId="5ECB1A89" w14:textId="69FA4485" w:rsidR="0049363B" w:rsidRDefault="00FC2B99" w:rsidP="0049363B">
      <w:pPr>
        <w:pStyle w:val="figurecaption"/>
        <w:spacing w:after="0" w:line="240" w:lineRule="auto"/>
        <w:rPr>
          <w:b/>
          <w:iCs/>
          <w:sz w:val="20"/>
          <w:lang w:val="en-US"/>
        </w:rPr>
      </w:pPr>
      <w:bookmarkStart w:id="18" w:name="_Ref8385684"/>
      <w:r>
        <w:rPr>
          <w:noProof/>
        </w:rPr>
        <w:lastRenderedPageBreak/>
        <w:drawing>
          <wp:inline distT="0" distB="0" distL="0" distR="0" wp14:anchorId="41237FE8" wp14:editId="59488408">
            <wp:extent cx="4060190" cy="1968500"/>
            <wp:effectExtent l="0" t="0" r="16510" b="12700"/>
            <wp:docPr id="5" name="Gráfico 5">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05A4D" w14:textId="4EC65295" w:rsidR="0049363B" w:rsidRDefault="00FC2B99" w:rsidP="005A6645">
      <w:pPr>
        <w:pStyle w:val="figurecaption"/>
        <w:spacing w:before="0"/>
        <w:rPr>
          <w:lang w:val="en-US"/>
        </w:rPr>
      </w:pPr>
      <w:bookmarkStart w:id="19" w:name="_Ref37928644"/>
      <w:bookmarkEnd w:id="1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19"/>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commentRangeStart w:id="20"/>
      <w:commentRangeStart w:id="21"/>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commentRangeEnd w:id="20"/>
      <w:r w:rsidR="00DB36B8">
        <w:rPr>
          <w:rStyle w:val="Refdecomentrio"/>
          <w:lang w:eastAsia="en-US"/>
        </w:rPr>
        <w:commentReference w:id="20"/>
      </w:r>
      <w:commentRangeEnd w:id="21"/>
      <w:r w:rsidR="007324AF">
        <w:rPr>
          <w:rStyle w:val="Refdecomentrio"/>
          <w:lang w:eastAsia="en-US"/>
        </w:rPr>
        <w:commentReference w:id="21"/>
      </w:r>
    </w:p>
    <w:p w14:paraId="7A94513C" w14:textId="23766BA6" w:rsidR="0049363B" w:rsidRDefault="00666C90" w:rsidP="0049363B">
      <w:pPr>
        <w:pStyle w:val="figurecaption"/>
        <w:spacing w:before="0" w:after="0" w:line="240" w:lineRule="auto"/>
        <w:rPr>
          <w:b/>
          <w:iCs/>
          <w:sz w:val="20"/>
          <w:lang w:val="en-US"/>
        </w:rPr>
      </w:pPr>
      <w:bookmarkStart w:id="22" w:name="_Ref8385584"/>
      <w:r>
        <w:rPr>
          <w:noProof/>
        </w:rPr>
        <w:drawing>
          <wp:inline distT="0" distB="0" distL="0" distR="0" wp14:anchorId="110C8D15" wp14:editId="2B309469">
            <wp:extent cx="4352925" cy="1466850"/>
            <wp:effectExtent l="0" t="0" r="9525" b="0"/>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D6CA6" w14:textId="77192155" w:rsidR="0049363B" w:rsidRDefault="0049363B" w:rsidP="0049363B">
      <w:pPr>
        <w:pStyle w:val="figurecaption"/>
        <w:spacing w:before="0"/>
        <w:rPr>
          <w:lang w:val="en-US"/>
        </w:rPr>
      </w:pPr>
      <w:bookmarkStart w:id="23" w:name="_Ref37859092"/>
      <w:bookmarkEnd w:id="22"/>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3"/>
      <w:r>
        <w:rPr>
          <w:b/>
          <w:lang w:val="en-US"/>
        </w:rPr>
        <w:t xml:space="preserve">: </w:t>
      </w:r>
      <w:r w:rsidRPr="007B44C5">
        <w:rPr>
          <w:lang w:val="en-US"/>
        </w:rPr>
        <w:t>Distribution of studies per year.</w:t>
      </w:r>
    </w:p>
    <w:p w14:paraId="14403082" w14:textId="5E91471A"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these studies </w:t>
      </w:r>
      <w:r>
        <w:rPr>
          <w:lang w:val="en-US"/>
        </w:rPr>
        <w:t>are what</w:t>
      </w:r>
      <w:r w:rsidRPr="00A27A69">
        <w:rPr>
          <w:lang w:val="en-US"/>
        </w:rPr>
        <w:t xml:space="preserve"> compose a series of experiments of the same research. Study </w:t>
      </w:r>
      <w:commentRangeStart w:id="24"/>
      <w:r w:rsidRPr="00A27A69">
        <w:rPr>
          <w:lang w:val="en-US"/>
        </w:rPr>
        <w:t>[</w:t>
      </w:r>
      <w:r w:rsidRPr="004E143D">
        <w:rPr>
          <w:lang w:val="en-US"/>
        </w:rPr>
        <w:fldChar w:fldCharType="begin"/>
      </w:r>
      <w:r w:rsidRPr="004E143D">
        <w:rPr>
          <w:lang w:val="en-US"/>
        </w:rPr>
        <w:instrText xml:space="preserve"> REF _Ref8497919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32</w:t>
      </w:r>
      <w:r w:rsidRPr="004E143D">
        <w:rPr>
          <w:lang w:val="en-US"/>
        </w:rPr>
        <w:fldChar w:fldCharType="end"/>
      </w:r>
      <w:r>
        <w:rPr>
          <w:lang w:val="en-US"/>
        </w:rPr>
        <w:t xml:space="preserve">, </w:t>
      </w:r>
      <w:r w:rsidRPr="004E143D">
        <w:rPr>
          <w:lang w:val="en-US"/>
        </w:rPr>
        <w:fldChar w:fldCharType="begin"/>
      </w:r>
      <w:r w:rsidRPr="004E143D">
        <w:rPr>
          <w:lang w:val="en-US"/>
        </w:rPr>
        <w:instrText xml:space="preserve"> REF _Ref8497983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41</w:t>
      </w:r>
      <w:r w:rsidRPr="004E143D">
        <w:rPr>
          <w:lang w:val="en-US"/>
        </w:rPr>
        <w:fldChar w:fldCharType="end"/>
      </w:r>
      <w:r w:rsidRPr="00A27A69">
        <w:rPr>
          <w:lang w:val="en-US"/>
        </w:rPr>
        <w:t xml:space="preserve">] </w:t>
      </w:r>
      <w:commentRangeEnd w:id="24"/>
      <w:r w:rsidR="00DB36B8">
        <w:rPr>
          <w:rStyle w:val="Refdecomentrio"/>
        </w:rPr>
        <w:commentReference w:id="24"/>
      </w:r>
      <w:r w:rsidRPr="00A27A69">
        <w:rPr>
          <w:lang w:val="en-US"/>
        </w:rPr>
        <w:t>ha</w:t>
      </w:r>
      <w:r>
        <w:rPr>
          <w:lang w:val="en-US"/>
        </w:rPr>
        <w:t>ve</w:t>
      </w:r>
      <w:r w:rsidRPr="00A27A69">
        <w:rPr>
          <w:lang w:val="en-US"/>
        </w:rPr>
        <w:t xml:space="preserve"> the most significant number of authors </w:t>
      </w:r>
      <w:r>
        <w:rPr>
          <w:lang w:val="en-US"/>
        </w:rPr>
        <w:t xml:space="preserve">written by </w:t>
      </w:r>
      <w:r w:rsidRPr="00A27A69">
        <w:rPr>
          <w:lang w:val="en-US"/>
        </w:rPr>
        <w:t xml:space="preserve">the same seven authors. All the authors of the study </w:t>
      </w:r>
      <w:commentRangeStart w:id="25"/>
      <w:r w:rsidRPr="00A27A69">
        <w:rPr>
          <w:lang w:val="en-US"/>
        </w:rPr>
        <w:t>[</w:t>
      </w:r>
      <w:r>
        <w:rPr>
          <w:color w:val="000000"/>
          <w:sz w:val="18"/>
          <w:szCs w:val="22"/>
        </w:rPr>
        <w:fldChar w:fldCharType="begin"/>
      </w:r>
      <w:r w:rsidRPr="0065091E">
        <w:rPr>
          <w:color w:val="000000"/>
          <w:sz w:val="18"/>
          <w:szCs w:val="22"/>
          <w:lang w:val="en-US"/>
        </w:rPr>
        <w:instrText xml:space="preserve"> REF _Ref8497919 \r \h </w:instrText>
      </w:r>
      <w:r>
        <w:rPr>
          <w:color w:val="000000"/>
          <w:sz w:val="18"/>
          <w:szCs w:val="22"/>
        </w:rPr>
      </w:r>
      <w:r>
        <w:rPr>
          <w:color w:val="000000"/>
          <w:sz w:val="18"/>
          <w:szCs w:val="22"/>
        </w:rPr>
        <w:fldChar w:fldCharType="separate"/>
      </w:r>
      <w:r>
        <w:rPr>
          <w:color w:val="000000"/>
          <w:sz w:val="18"/>
          <w:szCs w:val="22"/>
          <w:lang w:val="en-US"/>
        </w:rPr>
        <w:t>32</w:t>
      </w:r>
      <w:r>
        <w:rPr>
          <w:color w:val="000000"/>
          <w:sz w:val="18"/>
          <w:szCs w:val="22"/>
        </w:rPr>
        <w:fldChar w:fldCharType="end"/>
      </w:r>
      <w:r w:rsidRPr="00A27A69">
        <w:rPr>
          <w:lang w:val="en-US"/>
        </w:rPr>
        <w:t>]</w:t>
      </w:r>
      <w:commentRangeEnd w:id="25"/>
      <w:r w:rsidR="00DB36B8">
        <w:rPr>
          <w:rStyle w:val="Refdecomentrio"/>
        </w:rPr>
        <w:commentReference w:id="25"/>
      </w:r>
      <w:r w:rsidRPr="00A27A69">
        <w:rPr>
          <w:lang w:val="en-US"/>
        </w:rPr>
        <w:t xml:space="preserve"> are authors of at least one other study of the present mapping, being thus considered the German </w:t>
      </w:r>
      <w:r>
        <w:rPr>
          <w:lang w:val="en-US"/>
        </w:rPr>
        <w:t>U</w:t>
      </w:r>
      <w:r w:rsidRPr="00A27A69">
        <w:rPr>
          <w:lang w:val="en-US"/>
        </w:rPr>
        <w:t>niversity Ulm the most influential for the research area of the mapping in question.</w:t>
      </w:r>
      <w:bookmarkStart w:id="26"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7" w:name="_Ref37966036"/>
      <w:bookmarkEnd w:id="26"/>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7"/>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6D7328"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lastRenderedPageBreak/>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56CD1F70" w14:textId="77EF5F43" w:rsidR="00ED1587" w:rsidRDefault="00021C8B" w:rsidP="00ED1587">
      <w:pPr>
        <w:pStyle w:val="p1a"/>
        <w:rPr>
          <w:lang w:val="en-US"/>
        </w:rPr>
      </w:pPr>
      <w:bookmarkStart w:id="28" w:name="_Hlk8980871"/>
      <w:bookmarkEnd w:id="14"/>
      <w:r>
        <w:rPr>
          <w:lang w:val="en-US"/>
        </w:rPr>
        <w:tab/>
      </w:r>
      <w:bookmarkEnd w:id="28"/>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9"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w:t>
      </w:r>
      <w:commentRangeStart w:id="30"/>
      <w:r w:rsidR="00ED1587" w:rsidRPr="00EB1B30">
        <w:rPr>
          <w:lang w:val="en-US"/>
        </w:rPr>
        <w:t xml:space="preserve">assess the understanding of structures or specific elements </w:t>
      </w:r>
      <w:r w:rsidR="00ED1587" w:rsidRPr="008B2AEB">
        <w:rPr>
          <w:lang w:val="en-US"/>
        </w:rPr>
        <w:t>from which they were added in the notation</w:t>
      </w:r>
      <w:r w:rsidR="00ED1587" w:rsidRPr="00EB1B30">
        <w:rPr>
          <w:lang w:val="en-US"/>
        </w:rPr>
        <w:t>.</w:t>
      </w:r>
      <w:commentRangeEnd w:id="30"/>
      <w:r w:rsidR="00A01C25">
        <w:rPr>
          <w:rStyle w:val="Refdecomentrio"/>
        </w:rPr>
        <w:commentReference w:id="30"/>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31"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9"/>
      <w:bookmarkEnd w:id="31"/>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DD861B2" w14:textId="24220AC8"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2018</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p w14:paraId="7128EB96" w14:textId="77777777"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48C57707"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2016,</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2018</w:t>
            </w:r>
          </w:p>
        </w:tc>
      </w:tr>
      <w:tr w:rsidR="00ED1587" w:rsidRPr="00DB36B8"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33D2A28B"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2012,</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2013</w:t>
            </w:r>
            <w:r>
              <w:rPr>
                <w:sz w:val="18"/>
                <w:szCs w:val="18"/>
                <w:lang w:val="en-US"/>
              </w:rPr>
              <w:t>,</w:t>
            </w:r>
          </w:p>
          <w:p w14:paraId="23E9CA1F" w14:textId="6E8725B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2017</w:t>
            </w:r>
            <w:r>
              <w:rPr>
                <w:sz w:val="18"/>
                <w:szCs w:val="18"/>
                <w:lang w:val="en-US"/>
              </w:rPr>
              <w:t>,</w:t>
            </w:r>
            <w:r w:rsidR="00273544">
              <w:rPr>
                <w:sz w:val="18"/>
                <w:szCs w:val="18"/>
                <w:lang w:val="en-US"/>
              </w:rPr>
              <w:t xml:space="preserve"> </w:t>
            </w:r>
            <w:r w:rsidRPr="00F9725B">
              <w:rPr>
                <w:sz w:val="18"/>
                <w:szCs w:val="18"/>
                <w:lang w:val="en-US"/>
              </w:rPr>
              <w:t>Vermeulen, 2018</w:t>
            </w:r>
            <w:r>
              <w:rPr>
                <w:sz w:val="18"/>
                <w:szCs w:val="18"/>
                <w:lang w:val="en-US"/>
              </w:rPr>
              <w:t>,</w:t>
            </w:r>
          </w:p>
          <w:p w14:paraId="071DABFD" w14:textId="2256D3CE"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tc>
      </w:tr>
    </w:tbl>
    <w:p w14:paraId="72E7F8F3" w14:textId="77777777" w:rsidR="00604B03" w:rsidRDefault="00604B03" w:rsidP="00604B03">
      <w:pPr>
        <w:pStyle w:val="p1a"/>
        <w:rPr>
          <w:lang w:val="en-US"/>
        </w:rPr>
      </w:pPr>
    </w:p>
    <w:p w14:paraId="2C479C47" w14:textId="594BDAEE" w:rsidR="00021C8B" w:rsidRDefault="00021C8B" w:rsidP="00273544">
      <w:pPr>
        <w:pStyle w:val="p1a"/>
        <w:rPr>
          <w:lang w:val="en-US"/>
        </w:rPr>
      </w:pPr>
      <w:r>
        <w:rPr>
          <w:lang w:val="en-US"/>
        </w:rPr>
        <w:tab/>
      </w:r>
      <w:r w:rsidR="00D730B1" w:rsidRPr="00D730B1">
        <w:rPr>
          <w:lang w:val="en-US"/>
        </w:rPr>
        <w:t>What metrics are used to measure the visual comprehension of eye-tracking business process models?</w:t>
      </w:r>
      <w:r w:rsidR="00D730B1">
        <w:rPr>
          <w:lang w:val="en-US"/>
        </w:rPr>
        <w:t xml:space="preserve"> </w:t>
      </w:r>
      <w:r w:rsidR="00ED1587">
        <w:rPr>
          <w:lang w:val="en-US"/>
        </w:rPr>
        <w:t xml:space="preserve">The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9F39CF" w:rsidRPr="00A27A69">
        <w:rPr>
          <w:lang w:val="en-US"/>
        </w:rPr>
        <w:t xml:space="preserve">presents the metrics used to evaluate the understanding of business process models. The </w:t>
      </w:r>
      <w:r w:rsidR="009F39CF" w:rsidRPr="0053555A">
        <w:rPr>
          <w:i/>
          <w:lang w:val="en-US"/>
        </w:rPr>
        <w:t>eye</w:t>
      </w:r>
      <w:r w:rsidR="00913998">
        <w:rPr>
          <w:i/>
          <w:lang w:val="en-US"/>
        </w:rPr>
        <w:t xml:space="preserve"> </w:t>
      </w:r>
      <w:r w:rsidR="009F39CF" w:rsidRPr="0053555A">
        <w:rPr>
          <w:i/>
          <w:lang w:val="en-US"/>
        </w:rPr>
        <w:t>fixation</w:t>
      </w:r>
      <w:r w:rsidR="009F39CF" w:rsidRPr="00A27A69">
        <w:rPr>
          <w:lang w:val="en-US"/>
        </w:rPr>
        <w:t xml:space="preserve"> metric, which consists of the visual attention time of the participant in an area of interest while performing a task </w:t>
      </w:r>
      <w:r w:rsidR="00273544">
        <w:rPr>
          <w:lang w:val="en-US"/>
        </w:rPr>
        <w:t>(</w:t>
      </w:r>
      <w:r w:rsidR="00273544" w:rsidRPr="00A01C25">
        <w:rPr>
          <w:lang w:val="en-US"/>
        </w:rPr>
        <w:t>Santos, 2016</w:t>
      </w:r>
      <w:r w:rsidR="00273544">
        <w:rPr>
          <w:lang w:val="en-US"/>
        </w:rPr>
        <w:t>)</w:t>
      </w:r>
      <w:r w:rsidR="009F39CF" w:rsidRPr="00A27A69">
        <w:rPr>
          <w:lang w:val="en-US"/>
        </w:rPr>
        <w:t xml:space="preserve">, </w:t>
      </w:r>
      <w:r w:rsidR="00ED1DDF">
        <w:rPr>
          <w:lang w:val="en-US"/>
        </w:rPr>
        <w:t xml:space="preserve">it </w:t>
      </w:r>
      <w:r w:rsidR="009F39CF" w:rsidRPr="00A27A69">
        <w:rPr>
          <w:lang w:val="en-US"/>
        </w:rPr>
        <w:t>is used in most (</w:t>
      </w:r>
      <w:r w:rsidR="00273544">
        <w:rPr>
          <w:lang w:val="en-US"/>
        </w:rPr>
        <w:t>60</w:t>
      </w:r>
      <w:r w:rsidR="009F39CF" w:rsidRPr="00A27A69">
        <w:rPr>
          <w:lang w:val="en-US"/>
        </w:rPr>
        <w:t xml:space="preserve">%) of the mapped studies. </w:t>
      </w:r>
    </w:p>
    <w:p w14:paraId="538C0967" w14:textId="163B130B" w:rsidR="009F39CF" w:rsidRPr="00A27A69" w:rsidRDefault="00021C8B" w:rsidP="00273544">
      <w:pPr>
        <w:pStyle w:val="p1a"/>
        <w:rPr>
          <w:lang w:val="en-US"/>
        </w:rPr>
      </w:pPr>
      <w:r>
        <w:rPr>
          <w:lang w:val="en-US"/>
        </w:rPr>
        <w:tab/>
      </w:r>
      <w:r w:rsidR="009F39CF" w:rsidRPr="00A27A69">
        <w:rPr>
          <w:lang w:val="en-US"/>
        </w:rPr>
        <w:t xml:space="preserve">The </w:t>
      </w:r>
      <w:r w:rsidR="009F39CF" w:rsidRPr="0053555A">
        <w:rPr>
          <w:i/>
          <w:lang w:val="en-US"/>
        </w:rPr>
        <w:t>scan path</w:t>
      </w:r>
      <w:r w:rsidR="009F39CF">
        <w:rPr>
          <w:lang w:val="en-US"/>
        </w:rPr>
        <w:t xml:space="preserve"> </w:t>
      </w:r>
      <w:proofErr w:type="gramStart"/>
      <w:r w:rsidR="009F39CF" w:rsidRPr="00A27A69">
        <w:rPr>
          <w:lang w:val="en-US"/>
        </w:rPr>
        <w:t>were</w:t>
      </w:r>
      <w:proofErr w:type="gramEnd"/>
      <w:r w:rsidR="009F39CF" w:rsidRPr="00A27A69">
        <w:rPr>
          <w:lang w:val="en-US"/>
        </w:rPr>
        <w:t xml:space="preserve"> used in </w:t>
      </w:r>
      <w:r w:rsidR="009F39CF" w:rsidRPr="0053555A">
        <w:rPr>
          <w:lang w:val="en-US"/>
        </w:rPr>
        <w:t>3</w:t>
      </w:r>
      <w:r w:rsidR="00273544">
        <w:rPr>
          <w:lang w:val="en-US"/>
        </w:rPr>
        <w:t>0</w:t>
      </w:r>
      <w:r w:rsidR="009F39CF" w:rsidRPr="00A27A69">
        <w:rPr>
          <w:lang w:val="en-US"/>
        </w:rPr>
        <w:t xml:space="preserve">% consist of the way formed by the balconies, in chronological order, between sets of </w:t>
      </w:r>
      <w:proofErr w:type="spellStart"/>
      <w:r w:rsidR="009F39CF" w:rsidRPr="0053555A">
        <w:rPr>
          <w:i/>
          <w:lang w:val="en-US"/>
        </w:rPr>
        <w:t>eyefixations</w:t>
      </w:r>
      <w:proofErr w:type="spellEnd"/>
      <w:r w:rsidR="009F39CF" w:rsidRPr="00A27A69">
        <w:rPr>
          <w:lang w:val="en-US"/>
        </w:rPr>
        <w:t>.</w:t>
      </w:r>
      <w:r w:rsidR="009F39CF">
        <w:rPr>
          <w:lang w:val="en-US"/>
        </w:rPr>
        <w:t xml:space="preserve"> </w:t>
      </w:r>
      <w:r w:rsidR="009F39CF" w:rsidRPr="00A27A69">
        <w:rPr>
          <w:lang w:val="en-US"/>
        </w:rPr>
        <w:t xml:space="preserve">The </w:t>
      </w:r>
      <w:r w:rsidR="009F39CF" w:rsidRPr="0053555A">
        <w:rPr>
          <w:i/>
          <w:lang w:val="en-US"/>
        </w:rPr>
        <w:t>saccade</w:t>
      </w:r>
      <w:r w:rsidR="009F39CF" w:rsidRPr="00A27A69">
        <w:rPr>
          <w:lang w:val="en-US"/>
        </w:rPr>
        <w:t xml:space="preserve"> </w:t>
      </w:r>
      <w:proofErr w:type="gramStart"/>
      <w:r w:rsidR="009F39CF" w:rsidRPr="00A27A69">
        <w:rPr>
          <w:lang w:val="en-US"/>
        </w:rPr>
        <w:t>were</w:t>
      </w:r>
      <w:proofErr w:type="gramEnd"/>
      <w:r w:rsidR="009F39CF" w:rsidRPr="00A27A69">
        <w:rPr>
          <w:lang w:val="en-US"/>
        </w:rPr>
        <w:t xml:space="preserve"> used in </w:t>
      </w:r>
      <w:r w:rsidR="00273544">
        <w:rPr>
          <w:lang w:val="en-US"/>
        </w:rPr>
        <w:t>20</w:t>
      </w:r>
      <w:r w:rsidR="009F39CF" w:rsidRPr="00A27A69">
        <w:rPr>
          <w:lang w:val="en-US"/>
        </w:rPr>
        <w:t>%</w:t>
      </w:r>
      <w:r w:rsidR="009F39CF">
        <w:rPr>
          <w:lang w:val="en-US"/>
        </w:rPr>
        <w:t xml:space="preserve"> and </w:t>
      </w:r>
      <w:r w:rsidR="009F39CF" w:rsidRPr="00A27A69">
        <w:rPr>
          <w:lang w:val="en-US"/>
        </w:rPr>
        <w:t xml:space="preserve">consist of the swift movement that occurs between </w:t>
      </w:r>
      <w:proofErr w:type="spellStart"/>
      <w:r w:rsidR="009F39CF" w:rsidRPr="0053555A">
        <w:rPr>
          <w:i/>
          <w:lang w:val="en-US"/>
        </w:rPr>
        <w:t>eyefixations</w:t>
      </w:r>
      <w:proofErr w:type="spellEnd"/>
      <w:r w:rsidR="009F39CF" w:rsidRPr="00A27A69">
        <w:rPr>
          <w:lang w:val="en-US"/>
        </w:rPr>
        <w:t xml:space="preserve">, </w:t>
      </w:r>
      <w:r w:rsidR="00ED1DDF">
        <w:rPr>
          <w:lang w:val="en-US"/>
        </w:rPr>
        <w:t xml:space="preserve">it </w:t>
      </w:r>
      <w:r w:rsidR="009F39CF" w:rsidRPr="00A27A69">
        <w:rPr>
          <w:lang w:val="en-US"/>
        </w:rPr>
        <w:t xml:space="preserve">has a duration of about 40 to 50 milliseconds </w:t>
      </w:r>
      <w:r w:rsidR="00273544">
        <w:rPr>
          <w:lang w:val="en-US"/>
        </w:rPr>
        <w:t>(</w:t>
      </w:r>
      <w:r w:rsidR="00273544" w:rsidRPr="006D7328">
        <w:rPr>
          <w:lang w:val="en-US"/>
        </w:rPr>
        <w:t>Santos, 2016</w:t>
      </w:r>
      <w:r w:rsidR="00273544">
        <w:rPr>
          <w:lang w:val="en-US"/>
        </w:rPr>
        <w:t>)</w:t>
      </w:r>
      <w:r w:rsidR="009F39CF" w:rsidRPr="00A27A69">
        <w:rPr>
          <w:lang w:val="en-US"/>
        </w:rPr>
        <w:t>.</w:t>
      </w:r>
      <w:r w:rsidR="009F39CF">
        <w:rPr>
          <w:lang w:val="en-US"/>
        </w:rPr>
        <w:t xml:space="preserve"> </w:t>
      </w:r>
      <w:r w:rsidR="00ED1DDF">
        <w:rPr>
          <w:lang w:val="en-US"/>
        </w:rPr>
        <w:t>Meanwhile</w:t>
      </w:r>
      <w:r w:rsidR="009F39CF" w:rsidRPr="00A27A69">
        <w:rPr>
          <w:lang w:val="en-US"/>
        </w:rPr>
        <w:t xml:space="preserve">, the </w:t>
      </w:r>
      <w:r w:rsidR="009F39CF" w:rsidRPr="0053555A">
        <w:rPr>
          <w:i/>
          <w:lang w:val="en-US"/>
        </w:rPr>
        <w:t>duration</w:t>
      </w:r>
      <w:r w:rsidR="009F39CF" w:rsidRPr="00A27A69">
        <w:rPr>
          <w:lang w:val="en-US"/>
        </w:rPr>
        <w:t xml:space="preserve"> represents the time the participant takes to complete a task </w:t>
      </w:r>
      <w:r w:rsidR="00273544">
        <w:rPr>
          <w:lang w:val="en-US"/>
        </w:rPr>
        <w:t>(</w:t>
      </w:r>
      <w:proofErr w:type="spellStart"/>
      <w:r w:rsidR="00273544" w:rsidRPr="00273544">
        <w:rPr>
          <w:lang w:val="en-US"/>
        </w:rPr>
        <w:t>Sharafi</w:t>
      </w:r>
      <w:proofErr w:type="spellEnd"/>
      <w:r w:rsidR="00273544" w:rsidRPr="00273544">
        <w:rPr>
          <w:lang w:val="en-US"/>
        </w:rPr>
        <w:t xml:space="preserve"> and </w:t>
      </w:r>
      <w:proofErr w:type="spellStart"/>
      <w:r w:rsidR="00273544" w:rsidRPr="00273544">
        <w:rPr>
          <w:lang w:val="en-US"/>
        </w:rPr>
        <w:t>Guéhéneuc</w:t>
      </w:r>
      <w:proofErr w:type="spellEnd"/>
      <w:r w:rsidR="00273544" w:rsidRPr="00273544">
        <w:rPr>
          <w:lang w:val="en-US"/>
        </w:rPr>
        <w:t>, 2015</w:t>
      </w:r>
      <w:r w:rsidR="00273544">
        <w:rPr>
          <w:lang w:val="en-US"/>
        </w:rPr>
        <w:t>)</w:t>
      </w:r>
      <w:r w:rsidR="009F39CF">
        <w:rPr>
          <w:lang w:val="en-US"/>
        </w:rPr>
        <w:t xml:space="preserve"> and </w:t>
      </w:r>
      <w:r w:rsidR="00ED1DDF">
        <w:rPr>
          <w:lang w:val="en-US"/>
        </w:rPr>
        <w:t>was</w:t>
      </w:r>
      <w:r w:rsidR="00ED1DDF" w:rsidRPr="00A27A69">
        <w:rPr>
          <w:lang w:val="en-US"/>
        </w:rPr>
        <w:t xml:space="preserve"> </w:t>
      </w:r>
      <w:r w:rsidR="009F39CF" w:rsidRPr="00A27A69">
        <w:rPr>
          <w:lang w:val="en-US"/>
        </w:rPr>
        <w:t xml:space="preserve">used in </w:t>
      </w:r>
      <w:r w:rsidR="00273544">
        <w:rPr>
          <w:lang w:val="en-US"/>
        </w:rPr>
        <w:t>50</w:t>
      </w:r>
      <w:r w:rsidR="009F39CF" w:rsidRPr="00A27A69">
        <w:rPr>
          <w:lang w:val="en-US"/>
        </w:rPr>
        <w:t>%</w:t>
      </w:r>
      <w:r w:rsidR="009F39CF">
        <w:rPr>
          <w:lang w:val="en-US"/>
        </w:rPr>
        <w:t xml:space="preserve"> of studies</w:t>
      </w:r>
      <w:r w:rsidR="009F39CF" w:rsidRPr="00A27A69">
        <w:rPr>
          <w:lang w:val="en-US"/>
        </w:rPr>
        <w:t xml:space="preserve">. Finally, </w:t>
      </w:r>
      <w:r w:rsidR="00273544">
        <w:rPr>
          <w:lang w:val="en-US"/>
        </w:rPr>
        <w:t>40</w:t>
      </w:r>
      <w:r w:rsidR="009F39CF" w:rsidRPr="00A27A69">
        <w:rPr>
          <w:lang w:val="en-US"/>
        </w:rPr>
        <w:t xml:space="preserve">% of the </w:t>
      </w:r>
      <w:r w:rsidR="00273544">
        <w:rPr>
          <w:lang w:val="en-US"/>
        </w:rPr>
        <w:t xml:space="preserve">studies </w:t>
      </w:r>
      <w:r w:rsidR="009F39CF" w:rsidRPr="00A27A69">
        <w:rPr>
          <w:lang w:val="en-US"/>
        </w:rPr>
        <w:t>use questionnaires with questions about the domain of business process models, and according to the number of correct answers, the participant understands the business process models.</w:t>
      </w:r>
    </w:p>
    <w:p w14:paraId="62FAAE7E" w14:textId="31F6FF51" w:rsidR="00906FDA" w:rsidRDefault="00ED1587" w:rsidP="00F22E72">
      <w:pPr>
        <w:spacing w:before="120"/>
        <w:ind w:firstLine="0"/>
        <w:jc w:val="center"/>
      </w:pPr>
      <w:bookmarkStart w:id="32"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32"/>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7777777" w:rsidR="00913998"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4322" w:type="dxa"/>
            <w:vAlign w:val="center"/>
            <w:hideMark/>
          </w:tcPr>
          <w:p w14:paraId="7EB99D06" w14:textId="7E826B9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et al., 2012</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et al., 2016, </w:t>
            </w:r>
          </w:p>
          <w:p w14:paraId="29AF62D6" w14:textId="5B6743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lastRenderedPageBreak/>
              <w:t>Petrusel</w:t>
            </w:r>
            <w:proofErr w:type="spellEnd"/>
            <w:r w:rsidRPr="0099157B">
              <w:rPr>
                <w:sz w:val="18"/>
                <w:szCs w:val="18"/>
                <w:lang w:val="en-US"/>
              </w:rPr>
              <w:t xml:space="preserve"> et al., 2017,</w:t>
            </w:r>
            <w:r w:rsidR="00273544">
              <w:rPr>
                <w:sz w:val="18"/>
                <w:szCs w:val="18"/>
                <w:lang w:val="en-US"/>
              </w:rPr>
              <w:t xml:space="preserve"> </w:t>
            </w:r>
            <w:r w:rsidRPr="0099157B">
              <w:rPr>
                <w:sz w:val="18"/>
                <w:szCs w:val="18"/>
                <w:lang w:val="en-US"/>
              </w:rPr>
              <w:t>Vermeulen, 2018,</w:t>
            </w:r>
          </w:p>
          <w:p w14:paraId="74CCCBB1" w14:textId="238B8D0C"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et al. 2018, </w:t>
            </w:r>
            <w:proofErr w:type="spellStart"/>
            <w:r w:rsidRPr="0099157B">
              <w:rPr>
                <w:sz w:val="18"/>
                <w:szCs w:val="18"/>
                <w:lang w:val="en-US"/>
              </w:rPr>
              <w:t>Bera</w:t>
            </w:r>
            <w:proofErr w:type="spellEnd"/>
            <w:r w:rsidRPr="0099157B">
              <w:rPr>
                <w:sz w:val="18"/>
                <w:szCs w:val="18"/>
                <w:lang w:val="en-US"/>
              </w:rPr>
              <w:t xml:space="preserve"> et al. 2019,</w:t>
            </w:r>
          </w:p>
          <w:p w14:paraId="6FAF4294" w14:textId="77777777"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et al. 2019</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lastRenderedPageBreak/>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14483C46"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2018,</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2018</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156668E4"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et al., 2017,</w:t>
            </w:r>
            <w:r w:rsidR="00273544" w:rsidRPr="00A01C25">
              <w:rPr>
                <w:color w:val="000000"/>
                <w:sz w:val="18"/>
                <w:szCs w:val="22"/>
                <w:lang w:val="en-US"/>
              </w:rPr>
              <w:t xml:space="preserve"> </w:t>
            </w:r>
            <w:r w:rsidRPr="00A01C25">
              <w:rPr>
                <w:color w:val="000000"/>
                <w:sz w:val="18"/>
                <w:szCs w:val="22"/>
                <w:lang w:val="en-US"/>
              </w:rPr>
              <w:t xml:space="preserve">Vermeulen, 2018, </w:t>
            </w:r>
          </w:p>
          <w:p w14:paraId="3F9E001F" w14:textId="77777777"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et al. 2018</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70D84948"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et al., 2012,</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et al., 2017,</w:t>
            </w:r>
          </w:p>
          <w:p w14:paraId="2F06A278" w14:textId="3480386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2019,</w:t>
            </w:r>
          </w:p>
          <w:p w14:paraId="2C93943C" w14:textId="7777777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et al. 2019</w:t>
            </w:r>
          </w:p>
        </w:tc>
      </w:tr>
      <w:tr w:rsidR="00913998" w:rsidRPr="00A01C25" w14:paraId="75CEE89E"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4717B8" w14:textId="77777777" w:rsidR="00913998" w:rsidRPr="0099157B" w:rsidRDefault="00913998" w:rsidP="00001752">
            <w:pPr>
              <w:pStyle w:val="NormalWeb"/>
              <w:jc w:val="center"/>
              <w:rPr>
                <w:sz w:val="18"/>
                <w:szCs w:val="22"/>
                <w:lang w:val="en-US"/>
              </w:rPr>
            </w:pPr>
            <w:r w:rsidRPr="0099157B">
              <w:rPr>
                <w:sz w:val="18"/>
                <w:szCs w:val="22"/>
                <w:lang w:val="en-US"/>
              </w:rPr>
              <w:t>Comprehension Questions</w:t>
            </w:r>
          </w:p>
        </w:tc>
        <w:tc>
          <w:tcPr>
            <w:tcW w:w="851" w:type="dxa"/>
            <w:vAlign w:val="center"/>
          </w:tcPr>
          <w:p w14:paraId="3565A72A"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4</w:t>
            </w:r>
          </w:p>
        </w:tc>
        <w:tc>
          <w:tcPr>
            <w:tcW w:w="4322" w:type="dxa"/>
            <w:vAlign w:val="center"/>
          </w:tcPr>
          <w:p w14:paraId="5A5C03BA" w14:textId="5091343E"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et al., 2012,</w:t>
            </w:r>
            <w:r w:rsidR="00273544" w:rsidRPr="00A01C25">
              <w:rPr>
                <w:color w:val="000000"/>
                <w:sz w:val="18"/>
                <w:szCs w:val="22"/>
                <w:lang w:val="en-US"/>
              </w:rPr>
              <w:t xml:space="preserve"> </w:t>
            </w:r>
            <w:proofErr w:type="spellStart"/>
            <w:r w:rsidRPr="00A01C25">
              <w:rPr>
                <w:color w:val="000000"/>
                <w:sz w:val="18"/>
                <w:szCs w:val="22"/>
                <w:lang w:val="en-US"/>
              </w:rPr>
              <w:t>Zimoch</w:t>
            </w:r>
            <w:proofErr w:type="spellEnd"/>
            <w:r w:rsidRPr="00A01C25">
              <w:rPr>
                <w:color w:val="000000"/>
                <w:sz w:val="18"/>
                <w:szCs w:val="22"/>
                <w:lang w:val="en-US"/>
              </w:rPr>
              <w:t xml:space="preserve"> et al. 2018, </w:t>
            </w:r>
          </w:p>
          <w:p w14:paraId="24769F6D" w14:textId="7B5CBB0B" w:rsidR="00913998" w:rsidRPr="00A01C25" w:rsidRDefault="00913998" w:rsidP="00273544">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r w:rsidRPr="00A01C25">
              <w:rPr>
                <w:color w:val="000000"/>
                <w:sz w:val="18"/>
                <w:szCs w:val="22"/>
                <w:lang w:val="en-US"/>
              </w:rPr>
              <w:t>Chen et al. 2018,</w:t>
            </w:r>
            <w:r w:rsidR="00273544" w:rsidRPr="00A01C25">
              <w:rPr>
                <w:color w:val="000000"/>
                <w:sz w:val="18"/>
                <w:szCs w:val="22"/>
                <w:lang w:val="en-US"/>
              </w:rPr>
              <w:t xml:space="preserve"> </w:t>
            </w:r>
            <w:proofErr w:type="spellStart"/>
            <w:r w:rsidRPr="00A01C25">
              <w:rPr>
                <w:color w:val="000000"/>
                <w:sz w:val="18"/>
                <w:szCs w:val="22"/>
                <w:lang w:val="en-US"/>
              </w:rPr>
              <w:t>Tallon</w:t>
            </w:r>
            <w:proofErr w:type="spellEnd"/>
            <w:r w:rsidRPr="00A01C25">
              <w:rPr>
                <w:color w:val="000000"/>
                <w:sz w:val="18"/>
                <w:szCs w:val="22"/>
                <w:lang w:val="en-US"/>
              </w:rPr>
              <w:t xml:space="preserve"> et al., 2019</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64142BA" w14:textId="74E1BDF8" w:rsidR="003D25C2" w:rsidRPr="00EB1B30" w:rsidRDefault="001B5CD3" w:rsidP="001B5CD3">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r w:rsidR="003D25C2" w:rsidRPr="00EB1B30">
        <w:rPr>
          <w:lang w:val="en-US"/>
        </w:rPr>
        <w:t xml:space="preserve"> </w:t>
      </w:r>
    </w:p>
    <w:p w14:paraId="30A99909" w14:textId="1DC676C5" w:rsidR="003D25C2" w:rsidRDefault="0093792D" w:rsidP="004F677C">
      <w:pPr>
        <w:spacing w:before="240"/>
        <w:jc w:val="center"/>
        <w:rPr>
          <w:lang w:val="en-US"/>
        </w:rPr>
      </w:pPr>
      <w:bookmarkStart w:id="33"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33"/>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93792D" w:rsidRPr="006D7328"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13FCD3F4" w:rsidR="0093792D" w:rsidRPr="00A01C25" w:rsidRDefault="00CF7F6E" w:rsidP="00A01C25">
            <w:pPr>
              <w:pStyle w:val="NormalWeb"/>
              <w:jc w:val="center"/>
              <w:rPr>
                <w:sz w:val="18"/>
                <w:szCs w:val="22"/>
                <w:lang w:val="en-US"/>
              </w:rPr>
            </w:pPr>
            <w:r w:rsidRPr="00A01C25">
              <w:rPr>
                <w:sz w:val="18"/>
                <w:szCs w:val="22"/>
                <w:lang w:val="en-US"/>
              </w:rPr>
              <w:t>Vermeulen, 2018</w:t>
            </w:r>
          </w:p>
        </w:tc>
        <w:tc>
          <w:tcPr>
            <w:tcW w:w="5669" w:type="dxa"/>
          </w:tcPr>
          <w:p w14:paraId="28422D8D" w14:textId="77777777" w:rsidR="0093792D" w:rsidRPr="00EB1B30"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6D7328"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77777777"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et al. 2018</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6D7328"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428961CF"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et al., 2017</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6D7328"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708DF00F" w:rsidR="0093792D" w:rsidRPr="00A01C25" w:rsidRDefault="00CF7F6E" w:rsidP="00A01C25">
            <w:pPr>
              <w:pStyle w:val="NormalWeb"/>
              <w:jc w:val="center"/>
              <w:rPr>
                <w:sz w:val="18"/>
                <w:szCs w:val="22"/>
                <w:lang w:val="en-US"/>
              </w:rPr>
            </w:pPr>
            <w:r w:rsidRPr="00A01C25">
              <w:rPr>
                <w:sz w:val="18"/>
                <w:szCs w:val="22"/>
                <w:lang w:val="en-US"/>
              </w:rPr>
              <w:t>Chen et al. 2018</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6D7328"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1D98DDF8"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2013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6D7328"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59A53B9A"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Pinggera</w:t>
            </w:r>
            <w:proofErr w:type="spellEnd"/>
            <w:r w:rsidRPr="00A01C25">
              <w:rPr>
                <w:sz w:val="18"/>
                <w:szCs w:val="22"/>
                <w:lang w:val="en-US"/>
              </w:rPr>
              <w:t xml:space="preserve"> et al., 2012</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6D7328"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416D6DB9"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Pr="00A01C25">
              <w:rPr>
                <w:sz w:val="18"/>
                <w:szCs w:val="22"/>
                <w:lang w:val="en-US"/>
              </w:rPr>
              <w:t xml:space="preserve"> et al. 2019</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6D7328"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27D7BE16" w:rsidR="0093792D" w:rsidRPr="00A01C25" w:rsidRDefault="00CF7F6E" w:rsidP="00A01C25">
            <w:pPr>
              <w:pStyle w:val="NormalWeb"/>
              <w:jc w:val="center"/>
              <w:rPr>
                <w:sz w:val="18"/>
                <w:szCs w:val="22"/>
                <w:lang w:val="en-US"/>
              </w:rPr>
            </w:pPr>
            <w:r w:rsidRPr="00A01C25">
              <w:rPr>
                <w:sz w:val="18"/>
                <w:szCs w:val="22"/>
                <w:lang w:val="en-US"/>
              </w:rPr>
              <w:t>Chen et al. 2018</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w:t>
      </w:r>
      <w:commentRangeStart w:id="34"/>
      <w:r w:rsidRPr="00EB1B30">
        <w:rPr>
          <w:lang w:val="en-US"/>
        </w:rPr>
        <w:t xml:space="preserve">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w:t>
      </w:r>
      <w:commentRangeEnd w:id="34"/>
      <w:r w:rsidR="00A01C25">
        <w:rPr>
          <w:rStyle w:val="Refdecomentrio"/>
        </w:rPr>
        <w:commentReference w:id="34"/>
      </w:r>
      <w:r w:rsidRPr="00EB1B30">
        <w:rPr>
          <w:lang w:val="en-US"/>
        </w:rPr>
        <w:t xml:space="preserve">emphasize that the size and complexity of the model influence </w:t>
      </w:r>
      <w:r w:rsidR="00B6788E">
        <w:rPr>
          <w:lang w:val="en-US"/>
        </w:rPr>
        <w:t>its</w:t>
      </w:r>
      <w:r w:rsidRPr="00EB1B30">
        <w:rPr>
          <w:lang w:val="en-US"/>
        </w:rPr>
        <w:t xml:space="preserve"> understanding. On the other hand, studies </w:t>
      </w:r>
      <w:commentRangeStart w:id="35"/>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commentRangeEnd w:id="35"/>
      <w:r w:rsidR="00A01C25">
        <w:rPr>
          <w:rStyle w:val="Refdecomentrio"/>
        </w:rPr>
        <w:commentReference w:id="35"/>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commentRangeStart w:id="36"/>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commentRangeEnd w:id="36"/>
      <w:r w:rsidR="00A01C25">
        <w:rPr>
          <w:rStyle w:val="Refdecomentrio"/>
        </w:rPr>
        <w:commentReference w:id="36"/>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commentRangeStart w:id="37"/>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commentRangeEnd w:id="37"/>
      <w:r w:rsidR="00A01C25">
        <w:rPr>
          <w:rStyle w:val="Refdecomentrio"/>
        </w:rPr>
        <w:commentReference w:id="37"/>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commentRangeStart w:id="38"/>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commentRangeEnd w:id="38"/>
      <w:r w:rsidR="00A01C25">
        <w:rPr>
          <w:rStyle w:val="Refdecomentrio"/>
        </w:rPr>
        <w:commentReference w:id="38"/>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1ECD2A2E" w14:textId="03BCA52B" w:rsidR="00100CCA" w:rsidRPr="00100CCA" w:rsidRDefault="001B5CD3" w:rsidP="00CF7F6E">
      <w:pPr>
        <w:pStyle w:val="heading2"/>
        <w:numPr>
          <w:ilvl w:val="0"/>
          <w:numId w:val="0"/>
        </w:numPr>
        <w:rPr>
          <w:lang w:val="en-US"/>
        </w:rPr>
      </w:pPr>
      <w:r>
        <w:rPr>
          <w:color w:val="000000"/>
          <w:lang w:val="en-US"/>
        </w:rPr>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bookmarkStart w:id="39" w:name="_Hlk38294470"/>
      <w:r w:rsidR="00100CCA" w:rsidRPr="00371C10">
        <w:rPr>
          <w:b/>
          <w:sz w:val="24"/>
          <w:lang w:val="en-US"/>
        </w:rPr>
        <w:t>T</w:t>
      </w:r>
      <w:r w:rsidRPr="00371C10">
        <w:rPr>
          <w:b/>
          <w:sz w:val="24"/>
          <w:lang w:val="en-US"/>
        </w:rPr>
        <w:t>hreats</w:t>
      </w:r>
      <w:r w:rsidR="00100CCA" w:rsidRPr="00371C10">
        <w:rPr>
          <w:b/>
          <w:sz w:val="24"/>
          <w:lang w:val="en-US"/>
        </w:rPr>
        <w:t xml:space="preserve"> </w:t>
      </w:r>
      <w:r w:rsidRPr="00371C10">
        <w:rPr>
          <w:b/>
          <w:sz w:val="24"/>
          <w:lang w:val="en-US"/>
        </w:rPr>
        <w:t>to</w:t>
      </w:r>
      <w:r w:rsidR="00100CCA" w:rsidRPr="00371C10">
        <w:rPr>
          <w:b/>
          <w:sz w:val="24"/>
          <w:lang w:val="en-US"/>
        </w:rPr>
        <w:t xml:space="preserve"> V</w:t>
      </w:r>
      <w:r w:rsidRPr="00371C10">
        <w:rPr>
          <w:b/>
          <w:sz w:val="24"/>
          <w:lang w:val="en-US"/>
        </w:rPr>
        <w:t>alidity</w:t>
      </w:r>
      <w:r w:rsidR="00100CCA" w:rsidRPr="005E447B">
        <w:rPr>
          <w:b/>
          <w:sz w:val="24"/>
        </w:rPr>
        <w:t xml:space="preserve"> </w:t>
      </w:r>
      <w:bookmarkEnd w:id="39"/>
    </w:p>
    <w:p w14:paraId="26DD6336" w14:textId="5722311B"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with two activities assigned to the </w:t>
      </w:r>
      <w:r w:rsidRPr="005D7D6E">
        <w:rPr>
          <w:rFonts w:ascii="Courier New" w:hAnsi="Courier New" w:cs="Courier New"/>
          <w:lang w:val="en-US"/>
        </w:rPr>
        <w:t>Reviewers</w:t>
      </w:r>
      <w:r w:rsidRPr="00100CCA">
        <w:rPr>
          <w:bCs/>
          <w:color w:val="000000"/>
          <w:lang w:val="en-US"/>
        </w:rPr>
        <w:t>,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w:t>
      </w:r>
      <w:r w:rsidRPr="00100CCA">
        <w:rPr>
          <w:bCs/>
          <w:color w:val="000000"/>
          <w:lang w:val="en-US"/>
        </w:rPr>
        <w:lastRenderedPageBreak/>
        <w:t xml:space="preserve">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the </w:t>
      </w:r>
      <w:r w:rsidRPr="005D7D6E">
        <w:rPr>
          <w:rFonts w:ascii="Courier New" w:hAnsi="Courier New" w:cs="Courier New"/>
          <w:lang w:val="en-US"/>
        </w:rPr>
        <w:t>Reviewers</w:t>
      </w:r>
      <w:r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Pr="00100CCA">
        <w:rPr>
          <w:bCs/>
          <w:color w:val="000000"/>
          <w:lang w:val="en-US"/>
        </w:rPr>
        <w:t>“</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6B2FEE06" w14:textId="7B2B90ED" w:rsidR="00F0283B" w:rsidRPr="00EB1B30" w:rsidRDefault="00F0283B" w:rsidP="00123C65">
      <w:pPr>
        <w:ind w:firstLine="0"/>
        <w:rPr>
          <w:lang w:val="en-US"/>
        </w:rPr>
      </w:pPr>
      <w:r w:rsidRPr="00EB1B30">
        <w:rPr>
          <w:lang w:val="en-US"/>
        </w:rPr>
        <w:t xml:space="preserve">The studies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r w:rsidR="00123C65" w:rsidRPr="00123C65">
        <w:rPr>
          <w:lang w:val="en-US"/>
        </w:rPr>
        <w:t>FIGL</w:t>
      </w:r>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F81C76" w:rsidRPr="00AC7BC0">
        <w:rPr>
          <w:lang w:val="en-US"/>
        </w:rPr>
        <w:t>2015</w:t>
      </w:r>
      <w:r w:rsidR="00F81C76">
        <w:rPr>
          <w:lang w:val="en-US"/>
        </w:rPr>
        <w:t xml:space="preserve"> </w:t>
      </w:r>
      <w:r w:rsidRPr="00EB1B30">
        <w:rPr>
          <w:lang w:val="en-US"/>
        </w:rPr>
        <w:t xml:space="preserve">that verifies the use of eye-tracking technology in software engineering. This study conducts a comprehensive </w:t>
      </w:r>
      <w:r w:rsidR="004B64FE" w:rsidRPr="00EB1B30">
        <w:rPr>
          <w:lang w:val="en-US"/>
        </w:rPr>
        <w:t>survey</w:t>
      </w:r>
      <w:r w:rsidR="004B64FE">
        <w:rPr>
          <w:lang w:val="en-US"/>
        </w:rPr>
        <w:t xml:space="preserve"> but</w:t>
      </w:r>
      <w:r w:rsidRPr="00EB1B30">
        <w:rPr>
          <w:lang w:val="en-US"/>
        </w:rPr>
        <w:t xml:space="preserve"> does not explicitly address business process models.</w:t>
      </w:r>
    </w:p>
    <w:p w14:paraId="28CB3CFD" w14:textId="7AA068CE" w:rsidR="00B01001" w:rsidRPr="00EB1B30" w:rsidRDefault="00B672BE" w:rsidP="00F0283B">
      <w:pPr>
        <w:rPr>
          <w:lang w:val="en-US"/>
        </w:rPr>
      </w:pPr>
      <w:r>
        <w:rPr>
          <w:lang w:val="en-US"/>
        </w:rPr>
        <w:t xml:space="preserve">Moreover, this research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w:t>
      </w:r>
      <w:r w:rsidR="00D62D73">
        <w:rPr>
          <w:i/>
          <w:iCs/>
          <w:lang w:val="en-US"/>
        </w:rPr>
        <w:t xml:space="preserve"> </w:t>
      </w:r>
      <w:r w:rsidR="00D62D73" w:rsidRPr="00D62D73">
        <w:rPr>
          <w:lang w:val="en-US"/>
        </w:rPr>
        <w:t>(</w:t>
      </w:r>
      <w:r w:rsidR="00F81C76" w:rsidRPr="00AC7BC0">
        <w:rPr>
          <w:lang w:val="en-US"/>
        </w:rPr>
        <w:t>2015</w:t>
      </w:r>
      <w:r w:rsidR="00D62D73">
        <w:rPr>
          <w:lang w:val="en-US"/>
        </w:rPr>
        <w:t>)</w:t>
      </w:r>
      <w:r w:rsidR="00F0283B" w:rsidRPr="00EB1B30">
        <w:rPr>
          <w:lang w:val="en-US"/>
        </w:rPr>
        <w:t xml:space="preserve">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Pr="00371C10" w:rsidRDefault="00AE22C4" w:rsidP="00371C10">
      <w:pPr>
        <w:pStyle w:val="heading1"/>
        <w:numPr>
          <w:ilvl w:val="0"/>
          <w:numId w:val="38"/>
        </w:numPr>
        <w:rPr>
          <w:lang w:val="en-US"/>
        </w:rPr>
      </w:pPr>
      <w:r w:rsidRPr="00371C10">
        <w:rPr>
          <w:lang w:val="en-US"/>
        </w:rPr>
        <w:t>Conclusions</w:t>
      </w:r>
      <w:r w:rsidR="00F0283B" w:rsidRPr="00371C10">
        <w:rPr>
          <w:lang w:val="en-US"/>
        </w:rPr>
        <w:t xml:space="preserve"> </w:t>
      </w:r>
      <w:r w:rsidRPr="00371C10">
        <w:rPr>
          <w:lang w:val="en-US"/>
        </w:rPr>
        <w:t>and</w:t>
      </w:r>
      <w:r w:rsidR="00F0283B" w:rsidRPr="00371C10">
        <w:rPr>
          <w:lang w:val="en-US"/>
        </w:rPr>
        <w:t xml:space="preserve"> </w:t>
      </w:r>
      <w:r w:rsidRPr="00371C10">
        <w:rPr>
          <w:lang w:val="en-US"/>
        </w:rPr>
        <w:t>Future</w:t>
      </w:r>
      <w:r w:rsidR="00F0283B" w:rsidRPr="00371C10">
        <w:rPr>
          <w:lang w:val="en-US"/>
        </w:rPr>
        <w:t xml:space="preserve"> </w:t>
      </w:r>
      <w:r w:rsidRPr="00371C10">
        <w:rPr>
          <w:lang w:val="en-US"/>
        </w:rPr>
        <w:t>Work</w:t>
      </w:r>
      <w:r w:rsidR="002A5B81" w:rsidRPr="00371C10">
        <w:rPr>
          <w:lang w:val="en-US"/>
        </w:rPr>
        <w:t>s</w:t>
      </w:r>
    </w:p>
    <w:p w14:paraId="7484DF18" w14:textId="77777777" w:rsidR="00D62D73" w:rsidRPr="00D62D73" w:rsidRDefault="00D62D73" w:rsidP="00D62D73">
      <w:pPr>
        <w:overflowPunct/>
        <w:autoSpaceDE/>
        <w:autoSpaceDN/>
        <w:adjustRightInd/>
        <w:ind w:firstLine="0"/>
        <w:textAlignment w:val="auto"/>
        <w:rPr>
          <w:lang w:val="en-US"/>
        </w:rPr>
      </w:pPr>
      <w:r w:rsidRPr="00D62D73">
        <w:rPr>
          <w:lang w:val="en-US"/>
        </w:rPr>
        <w:t xml:space="preserve">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 </w:t>
      </w:r>
    </w:p>
    <w:p w14:paraId="3DC5C13A" w14:textId="7D5F8134" w:rsidR="0026060A" w:rsidRPr="006D7328" w:rsidRDefault="00D62D73" w:rsidP="00D62D73">
      <w:pPr>
        <w:overflowPunct/>
        <w:autoSpaceDE/>
        <w:autoSpaceDN/>
        <w:adjustRightInd/>
        <w:ind w:firstLine="0"/>
        <w:textAlignment w:val="auto"/>
        <w:rPr>
          <w:rFonts w:ascii="Calibri" w:hAnsi="Calibri" w:cs="Calibri"/>
          <w:color w:val="000000"/>
          <w:sz w:val="22"/>
          <w:szCs w:val="22"/>
          <w:lang w:val="en-US" w:eastAsia="pt-BR"/>
        </w:rPr>
      </w:pPr>
      <w:r w:rsidRPr="00D62D73">
        <w:rPr>
          <w:lang w:val="en-US"/>
        </w:rPr>
        <w:t>Thus, with this SLR we</w:t>
      </w:r>
      <w:r w:rsidR="00E13837">
        <w:rPr>
          <w:lang w:val="en-US"/>
        </w:rPr>
        <w:t xml:space="preserve"> performed</w:t>
      </w:r>
      <w:r w:rsidR="0026060A" w:rsidRPr="0026060A">
        <w:rPr>
          <w:lang w:val="en-US"/>
        </w:rPr>
        <w:t xml:space="preserve"> </w:t>
      </w:r>
      <w:r>
        <w:rPr>
          <w:lang w:val="en-US"/>
        </w:rPr>
        <w:t xml:space="preserve">a study </w:t>
      </w:r>
      <w:r w:rsidR="0026060A" w:rsidRPr="0026060A">
        <w:rPr>
          <w:lang w:val="en-US"/>
        </w:rPr>
        <w:t xml:space="preserve">to find empirical evidence about how the eye-tracking technology has been applied in the understanding of the business process models. </w:t>
      </w:r>
      <w:proofErr w:type="gramStart"/>
      <w:r w:rsidR="0026060A" w:rsidRPr="0026060A">
        <w:rPr>
          <w:lang w:val="en-US"/>
        </w:rPr>
        <w:t xml:space="preserve">The </w:t>
      </w:r>
      <w:r>
        <w:rPr>
          <w:lang w:val="en-US"/>
        </w:rPr>
        <w:t xml:space="preserve">end </w:t>
      </w:r>
      <w:r w:rsidR="0026060A" w:rsidRPr="0026060A">
        <w:rPr>
          <w:lang w:val="en-US"/>
        </w:rPr>
        <w:t>result</w:t>
      </w:r>
      <w:proofErr w:type="gramEnd"/>
      <w:r w:rsidR="0026060A" w:rsidRPr="0026060A">
        <w:rPr>
          <w:lang w:val="en-US"/>
        </w:rPr>
        <w:t xml:space="preserve">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xml:space="preserve">. The evidence found indicates that the selected studies are strongly concerned with the understanding of process models, but few of them </w:t>
      </w:r>
      <w:r>
        <w:rPr>
          <w:lang w:val="en-US"/>
        </w:rPr>
        <w:t>(</w:t>
      </w:r>
      <w:proofErr w:type="spellStart"/>
      <w:r w:rsidR="00F81C76" w:rsidRPr="00F81C76">
        <w:rPr>
          <w:lang w:val="en-US"/>
        </w:rPr>
        <w:t>Petrusel</w:t>
      </w:r>
      <w:proofErr w:type="spellEnd"/>
      <w:r w:rsidR="00F81C76" w:rsidRPr="00F81C76">
        <w:rPr>
          <w:lang w:val="en-US"/>
        </w:rPr>
        <w:t xml:space="preserve"> et al., 2017</w:t>
      </w:r>
      <w:r>
        <w:rPr>
          <w:lang w:val="en-US"/>
        </w:rPr>
        <w:t>)</w:t>
      </w:r>
      <w:r w:rsidR="0026060A" w:rsidRPr="0026060A">
        <w:rPr>
          <w:lang w:val="en-US"/>
        </w:rPr>
        <w:t xml:space="preserve"> </w:t>
      </w:r>
      <w:r w:rsidR="00E13837">
        <w:rPr>
          <w:lang w:val="en-US"/>
        </w:rPr>
        <w:t xml:space="preserve">are </w:t>
      </w:r>
      <w:r w:rsidR="0026060A" w:rsidRPr="0026060A">
        <w:rPr>
          <w:lang w:val="en-US"/>
        </w:rPr>
        <w:t xml:space="preserve">concerned with the analysis of </w:t>
      </w:r>
      <w:r>
        <w:rPr>
          <w:lang w:val="en-US"/>
        </w:rPr>
        <w:t>process diagram</w:t>
      </w:r>
      <w:r w:rsidRPr="0026060A">
        <w:rPr>
          <w:lang w:val="en-US"/>
        </w:rPr>
        <w:t xml:space="preserve"> </w:t>
      </w:r>
      <w:r w:rsidR="0026060A" w:rsidRPr="0026060A">
        <w:rPr>
          <w:lang w:val="en-US"/>
        </w:rPr>
        <w:t xml:space="preserve">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xml:space="preserve">, ocular, sacral, sweep path, </w:t>
      </w:r>
      <w:proofErr w:type="gramStart"/>
      <w:r w:rsidR="0026060A" w:rsidRPr="0026060A">
        <w:rPr>
          <w:lang w:val="en-US"/>
        </w:rPr>
        <w:t>duration</w:t>
      </w:r>
      <w:proofErr w:type="gramEnd"/>
      <w:r w:rsidR="0026060A" w:rsidRPr="0026060A">
        <w:rPr>
          <w:lang w:val="en-US"/>
        </w:rPr>
        <w:t xml:space="preserve"> and attempt-pill.</w:t>
      </w:r>
    </w:p>
    <w:p w14:paraId="06B22D1A" w14:textId="0BDA736E" w:rsidR="008F4AB1" w:rsidRDefault="0026060A" w:rsidP="00AB103B">
      <w:pPr>
        <w:rPr>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w:t>
      </w:r>
      <w:r w:rsidRPr="0026060A">
        <w:rPr>
          <w:lang w:val="en-US"/>
        </w:rPr>
        <w:lastRenderedPageBreak/>
        <w:t xml:space="preserve">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2CB0AB0F" w:rsidR="00FA4D27" w:rsidRPr="00234583" w:rsidRDefault="009B2539" w:rsidP="00FA4D27">
      <w:pPr>
        <w:pStyle w:val="heading1"/>
        <w:numPr>
          <w:ilvl w:val="0"/>
          <w:numId w:val="0"/>
        </w:numPr>
        <w:ind w:left="567" w:hanging="567"/>
        <w:rPr>
          <w:lang w:val="en-US"/>
        </w:rPr>
      </w:pPr>
      <w:r w:rsidRPr="00234583">
        <w:rPr>
          <w:lang w:val="en-US"/>
        </w:rPr>
        <w:t>References</w:t>
      </w:r>
    </w:p>
    <w:p w14:paraId="4D1E2A96" w14:textId="77777777" w:rsidR="00AE4603" w:rsidRPr="00A903EA" w:rsidRDefault="00AE4603" w:rsidP="00AE4603">
      <w:pPr>
        <w:rPr>
          <w:lang w:val="en-US"/>
        </w:rPr>
      </w:pPr>
      <w:proofErr w:type="spellStart"/>
      <w:r w:rsidRPr="00A903EA">
        <w:rPr>
          <w:lang w:val="en-US"/>
        </w:rPr>
        <w:t>Vaknin</w:t>
      </w:r>
      <w:proofErr w:type="spellEnd"/>
      <w:r w:rsidRPr="00A903EA">
        <w:rPr>
          <w:lang w:val="en-US"/>
        </w:rPr>
        <w:t xml:space="preserve">, M.; </w:t>
      </w:r>
      <w:proofErr w:type="spellStart"/>
      <w:r w:rsidRPr="00A903EA">
        <w:rPr>
          <w:lang w:val="en-US"/>
        </w:rPr>
        <w:t>Filipowska</w:t>
      </w:r>
      <w:proofErr w:type="spellEnd"/>
      <w:r w:rsidRPr="00A903EA">
        <w:rPr>
          <w:lang w:val="en-US"/>
        </w:rPr>
        <w:t>, A.: Information Quality Framework for the Design and Validation of Data Flow Within Business Processes - Position Paper. In: International Conference on Business Information Systems, vol. 8787, pp. 158–168, Greece, Springer, (2017).</w:t>
      </w:r>
    </w:p>
    <w:p w14:paraId="19549669" w14:textId="77777777" w:rsidR="00AE4603" w:rsidRPr="00A903EA" w:rsidRDefault="00AE4603" w:rsidP="00AE4603">
      <w:pPr>
        <w:rPr>
          <w:lang w:val="en-US"/>
        </w:rPr>
      </w:pPr>
      <w:proofErr w:type="spellStart"/>
      <w:r w:rsidRPr="00A903EA">
        <w:rPr>
          <w:lang w:val="en-US"/>
        </w:rPr>
        <w:t>AbbadAndaloussi</w:t>
      </w:r>
      <w:proofErr w:type="spellEnd"/>
      <w:r w:rsidRPr="00A903EA">
        <w:rPr>
          <w:lang w:val="en-US"/>
        </w:rPr>
        <w:t xml:space="preserve">, A.; </w:t>
      </w:r>
      <w:proofErr w:type="spellStart"/>
      <w:r w:rsidRPr="00A903EA">
        <w:rPr>
          <w:lang w:val="en-US"/>
        </w:rPr>
        <w:t>Slaats</w:t>
      </w:r>
      <w:proofErr w:type="spellEnd"/>
      <w:r w:rsidRPr="00A903EA">
        <w:rPr>
          <w:lang w:val="en-US"/>
        </w:rPr>
        <w:t xml:space="preserve">, T.; </w:t>
      </w:r>
      <w:proofErr w:type="spellStart"/>
      <w:r w:rsidRPr="00A903EA">
        <w:rPr>
          <w:lang w:val="en-US"/>
        </w:rPr>
        <w:t>Burattin</w:t>
      </w:r>
      <w:proofErr w:type="spellEnd"/>
      <w:r w:rsidRPr="00A903EA">
        <w:rPr>
          <w:lang w:val="en-US"/>
        </w:rPr>
        <w:t>, A.; Hildebrandt, T.: Evaluating the Understandability of Hybrid Process Model Representations Using Eye Tracking: First Insights. In: International Conference on Business Process Management, Springer, Cham, pp. 475-481 (2019).</w:t>
      </w:r>
    </w:p>
    <w:p w14:paraId="5D1AEC6C" w14:textId="77777777" w:rsidR="00AE4603" w:rsidRPr="00A903EA" w:rsidRDefault="00AE4603" w:rsidP="00AE4603">
      <w:pPr>
        <w:rPr>
          <w:lang w:val="en-US"/>
        </w:rPr>
      </w:pPr>
      <w:r w:rsidRPr="00A903EA">
        <w:rPr>
          <w:lang w:val="en-US"/>
        </w:rPr>
        <w:t>Alotaibi, Y.; Liu, F.: Survey of business process management: challenges and solutions. Enterprise Information Systems, 11(8), 1119-1153 (2016).</w:t>
      </w:r>
    </w:p>
    <w:p w14:paraId="6CECC080" w14:textId="77777777" w:rsidR="00AE4603" w:rsidRPr="00A903EA" w:rsidRDefault="00AE4603" w:rsidP="00AE4603">
      <w:pPr>
        <w:rPr>
          <w:lang w:val="en-US"/>
        </w:rPr>
      </w:pPr>
      <w:r w:rsidRPr="00A903EA">
        <w:rPr>
          <w:lang w:val="en-US"/>
        </w:rPr>
        <w:t xml:space="preserve">Boutin, K.; Léger, P.; Davis, C.; </w:t>
      </w:r>
      <w:proofErr w:type="spellStart"/>
      <w:r w:rsidRPr="00A903EA">
        <w:rPr>
          <w:lang w:val="en-US"/>
        </w:rPr>
        <w:t>Hevner</w:t>
      </w:r>
      <w:proofErr w:type="spellEnd"/>
      <w:r w:rsidRPr="00A903EA">
        <w:rPr>
          <w:lang w:val="en-US"/>
        </w:rPr>
        <w:t xml:space="preserve">, A.; </w:t>
      </w:r>
      <w:proofErr w:type="spellStart"/>
      <w:r w:rsidRPr="00A903EA">
        <w:rPr>
          <w:lang w:val="en-US"/>
        </w:rPr>
        <w:t>Labonté-LeMoyne</w:t>
      </w:r>
      <w:proofErr w:type="spellEnd"/>
      <w:r w:rsidRPr="00A903EA">
        <w:rPr>
          <w:lang w:val="en-US"/>
        </w:rPr>
        <w:t xml:space="preserve">, É.: Attentional Characteristics of Anomaly </w:t>
      </w:r>
      <w:proofErr w:type="spellStart"/>
      <w:r w:rsidRPr="00A903EA">
        <w:rPr>
          <w:lang w:val="en-US"/>
        </w:rPr>
        <w:t>Detection.In</w:t>
      </w:r>
      <w:proofErr w:type="spellEnd"/>
      <w:r w:rsidRPr="00A903EA">
        <w:rPr>
          <w:lang w:val="en-US"/>
        </w:rPr>
        <w:t>: Conceptual Modeling. Information Systems and Neuroscience. Springer, Cham, pp. 57-63 (2019).</w:t>
      </w:r>
    </w:p>
    <w:p w14:paraId="51A1E376"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xml:space="preserve">, M.; Weber, B.: Eye Tracking Meets the Process of Process Modeling: A Visual Analytic Approach. In: Dumas M., </w:t>
      </w:r>
      <w:proofErr w:type="spellStart"/>
      <w:r w:rsidRPr="00A903EA">
        <w:rPr>
          <w:lang w:val="en-US"/>
        </w:rPr>
        <w:t>Fantinato</w:t>
      </w:r>
      <w:proofErr w:type="spellEnd"/>
      <w:r w:rsidRPr="00A903EA">
        <w:rPr>
          <w:lang w:val="en-US"/>
        </w:rPr>
        <w:t xml:space="preserve"> M. (eds) Business Process Management Workshops 2016. BPM. vol 281, pp. 461-473. Springer, Cham (2017).</w:t>
      </w:r>
    </w:p>
    <w:p w14:paraId="4AA01489"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M.; Weber, B.: Learning process modeling phases from modeling interactions and eye tracking data. In: Data &amp; Knowledge Engineering, (2019).</w:t>
      </w:r>
    </w:p>
    <w:p w14:paraId="7A40B078" w14:textId="77777777" w:rsidR="00AE4603" w:rsidRPr="00A903EA" w:rsidRDefault="00AE4603" w:rsidP="00AE4603">
      <w:pPr>
        <w:rPr>
          <w:lang w:val="en-US"/>
        </w:rPr>
      </w:pPr>
      <w:r w:rsidRPr="00A903EA">
        <w:rPr>
          <w:lang w:val="en-US"/>
        </w:rPr>
        <w:t xml:space="preserve">Chen, T.; Wang, W.; </w:t>
      </w:r>
      <w:proofErr w:type="spellStart"/>
      <w:r w:rsidRPr="00A903EA">
        <w:rPr>
          <w:lang w:val="en-US"/>
        </w:rPr>
        <w:t>Indulska</w:t>
      </w:r>
      <w:proofErr w:type="spellEnd"/>
      <w:r w:rsidRPr="00A903EA">
        <w:rPr>
          <w:lang w:val="en-US"/>
        </w:rPr>
        <w:t>, M.; Sadiq, S.: Business Process and Rule Integration Ap-</w:t>
      </w:r>
      <w:proofErr w:type="spellStart"/>
      <w:r w:rsidRPr="00A903EA">
        <w:rPr>
          <w:lang w:val="en-US"/>
        </w:rPr>
        <w:t>proaches</w:t>
      </w:r>
      <w:proofErr w:type="spellEnd"/>
      <w:r w:rsidRPr="00A903EA">
        <w:rPr>
          <w:lang w:val="en-US"/>
        </w:rPr>
        <w:t>- An Empirical Analysis. In: International Conference on Business Process Man-</w:t>
      </w:r>
      <w:proofErr w:type="spellStart"/>
      <w:r w:rsidRPr="00A903EA">
        <w:rPr>
          <w:lang w:val="en-US"/>
        </w:rPr>
        <w:t>agement</w:t>
      </w:r>
      <w:proofErr w:type="spellEnd"/>
      <w:r w:rsidRPr="00A903EA">
        <w:rPr>
          <w:lang w:val="en-US"/>
        </w:rPr>
        <w:t>. Springer, Cham, pp. 37-52 (2018).</w:t>
      </w:r>
    </w:p>
    <w:p w14:paraId="1EBEF098" w14:textId="77777777" w:rsidR="00AE4603" w:rsidRPr="00A903EA" w:rsidRDefault="00AE4603" w:rsidP="00AE4603">
      <w:pPr>
        <w:rPr>
          <w:lang w:val="en-US"/>
        </w:rPr>
      </w:pPr>
      <w:proofErr w:type="spellStart"/>
      <w:r w:rsidRPr="00A903EA">
        <w:rPr>
          <w:lang w:val="en-US"/>
        </w:rPr>
        <w:t>Figl</w:t>
      </w:r>
      <w:proofErr w:type="spellEnd"/>
      <w:r w:rsidRPr="00A903EA">
        <w:rPr>
          <w:lang w:val="en-US"/>
        </w:rPr>
        <w:t>, K., Recker, J.; Exploring cognitive style and task-specific preferences for process representations. Requirements Eng., 21(1), pp. 63–85 (2014).</w:t>
      </w:r>
    </w:p>
    <w:p w14:paraId="1E20BA95" w14:textId="77777777" w:rsidR="00AE4603" w:rsidRPr="00A903EA" w:rsidRDefault="00AE4603" w:rsidP="00AE4603">
      <w:pPr>
        <w:rPr>
          <w:lang w:val="en-US"/>
        </w:rPr>
      </w:pPr>
      <w:r w:rsidRPr="00A903EA">
        <w:rPr>
          <w:lang w:val="en-US"/>
        </w:rPr>
        <w:t xml:space="preserve">Gibson, D.L.; </w:t>
      </w:r>
      <w:proofErr w:type="spellStart"/>
      <w:r w:rsidRPr="00A903EA">
        <w:rPr>
          <w:lang w:val="en-US"/>
        </w:rPr>
        <w:t>Goldenson</w:t>
      </w:r>
      <w:proofErr w:type="spellEnd"/>
      <w:r w:rsidRPr="00A903EA">
        <w:rPr>
          <w:lang w:val="en-US"/>
        </w:rPr>
        <w:t xml:space="preserve">, D.R.; </w:t>
      </w:r>
      <w:proofErr w:type="spellStart"/>
      <w:r w:rsidRPr="00A903EA">
        <w:rPr>
          <w:lang w:val="en-US"/>
        </w:rPr>
        <w:t>Kost</w:t>
      </w:r>
      <w:proofErr w:type="spellEnd"/>
      <w:r w:rsidRPr="00A903EA">
        <w:rPr>
          <w:lang w:val="en-US"/>
        </w:rPr>
        <w:t>, K.: Performance results of CMMI-based process improvement. Carnegie-Mellon Univ Pittsburgh Pa Software Engineering Inst (2006).</w:t>
      </w:r>
    </w:p>
    <w:p w14:paraId="68A2A4EB" w14:textId="77777777" w:rsidR="00AE4603" w:rsidRPr="00A903EA" w:rsidRDefault="00AE4603" w:rsidP="00AE4603">
      <w:pPr>
        <w:rPr>
          <w:lang w:val="en-US"/>
        </w:rPr>
      </w:pPr>
      <w:r w:rsidRPr="00A903EA">
        <w:rPr>
          <w:lang w:val="en-US"/>
        </w:rPr>
        <w:t>Hani, S. U.: Impact of process improvement on software development predictions, for measuring software development project's performance benefits, In: Proceedings of the 7th International Conference on Frontiers of Information Technology, p 54, (2009).</w:t>
      </w:r>
    </w:p>
    <w:p w14:paraId="429DAD74" w14:textId="77777777" w:rsidR="00AE4603" w:rsidRPr="00A903EA" w:rsidRDefault="00AE4603" w:rsidP="00AE4603">
      <w:pPr>
        <w:rPr>
          <w:lang w:val="en-US"/>
        </w:rPr>
      </w:pPr>
      <w:proofErr w:type="spellStart"/>
      <w:r w:rsidRPr="00A903EA">
        <w:rPr>
          <w:lang w:val="en-US"/>
        </w:rPr>
        <w:t>Indulska</w:t>
      </w:r>
      <w:proofErr w:type="spellEnd"/>
      <w:r w:rsidRPr="00A903EA">
        <w:rPr>
          <w:lang w:val="en-US"/>
        </w:rPr>
        <w:t xml:space="preserve">, M.; </w:t>
      </w:r>
      <w:proofErr w:type="spellStart"/>
      <w:r w:rsidRPr="00A903EA">
        <w:rPr>
          <w:lang w:val="en-US"/>
        </w:rPr>
        <w:t>ZurMuehlen</w:t>
      </w:r>
      <w:proofErr w:type="spellEnd"/>
      <w:r w:rsidRPr="00A903EA">
        <w:rPr>
          <w:lang w:val="en-US"/>
        </w:rPr>
        <w:t xml:space="preserve">, M.; Recker, J.: Measuring Method Complexity: The Case of the </w:t>
      </w:r>
      <w:proofErr w:type="spellStart"/>
      <w:r w:rsidRPr="00A903EA">
        <w:rPr>
          <w:lang w:val="en-US"/>
        </w:rPr>
        <w:t>Busi</w:t>
      </w:r>
      <w:proofErr w:type="spellEnd"/>
      <w:r w:rsidRPr="00A903EA">
        <w:rPr>
          <w:lang w:val="en-US"/>
        </w:rPr>
        <w:t xml:space="preserve">-ness Process </w:t>
      </w:r>
      <w:proofErr w:type="spellStart"/>
      <w:r w:rsidRPr="00A903EA">
        <w:rPr>
          <w:lang w:val="en-US"/>
        </w:rPr>
        <w:t>ModelingNotation</w:t>
      </w:r>
      <w:proofErr w:type="spellEnd"/>
      <w:r w:rsidRPr="00A903EA">
        <w:rPr>
          <w:lang w:val="en-US"/>
        </w:rPr>
        <w:t>. Technical report, BPM Center Report, n. Apr (2009).</w:t>
      </w:r>
    </w:p>
    <w:p w14:paraId="36140C10" w14:textId="77777777" w:rsidR="00AE4603" w:rsidRPr="00A903EA" w:rsidRDefault="00AE4603" w:rsidP="00AE4603">
      <w:pPr>
        <w:rPr>
          <w:lang w:val="en-US"/>
        </w:rPr>
      </w:pPr>
      <w:proofErr w:type="spellStart"/>
      <w:r w:rsidRPr="00A903EA">
        <w:rPr>
          <w:lang w:val="en-US"/>
        </w:rPr>
        <w:lastRenderedPageBreak/>
        <w:t>Jamshidi</w:t>
      </w:r>
      <w:proofErr w:type="spellEnd"/>
      <w:r w:rsidRPr="00A903EA">
        <w:rPr>
          <w:lang w:val="en-US"/>
        </w:rPr>
        <w:t xml:space="preserve">, P., </w:t>
      </w:r>
      <w:proofErr w:type="spellStart"/>
      <w:r w:rsidRPr="00A903EA">
        <w:rPr>
          <w:lang w:val="en-US"/>
        </w:rPr>
        <w:t>Ghafari</w:t>
      </w:r>
      <w:proofErr w:type="spellEnd"/>
      <w:r w:rsidRPr="00A903EA">
        <w:rPr>
          <w:lang w:val="en-US"/>
        </w:rPr>
        <w:t xml:space="preserve">, M., Ahmad, A., </w:t>
      </w:r>
      <w:proofErr w:type="spellStart"/>
      <w:r w:rsidRPr="00A903EA">
        <w:rPr>
          <w:lang w:val="en-US"/>
        </w:rPr>
        <w:t>Pahl</w:t>
      </w:r>
      <w:proofErr w:type="spellEnd"/>
      <w:r w:rsidRPr="00A903EA">
        <w:rPr>
          <w:lang w:val="en-US"/>
        </w:rPr>
        <w:t xml:space="preserve">, C.: A Protocol for Systematic Literature Review on Architecture-Centric Software Evolution Research, Technical Report, </w:t>
      </w:r>
      <w:proofErr w:type="spellStart"/>
      <w:r w:rsidRPr="00A903EA">
        <w:rPr>
          <w:lang w:val="en-US"/>
        </w:rPr>
        <w:t>Lero-TheIrish</w:t>
      </w:r>
      <w:proofErr w:type="spellEnd"/>
      <w:r w:rsidRPr="00A903EA">
        <w:rPr>
          <w:lang w:val="en-US"/>
        </w:rPr>
        <w:t xml:space="preserve"> Software Engineering Research Centre, Dublin City University, Oct. 2012.</w:t>
      </w:r>
    </w:p>
    <w:p w14:paraId="3A1FA23F" w14:textId="77777777" w:rsidR="00AE4603" w:rsidRPr="00A903EA" w:rsidRDefault="00AE4603" w:rsidP="00AE4603">
      <w:pPr>
        <w:rPr>
          <w:lang w:val="en-US"/>
        </w:rPr>
      </w:pPr>
      <w:r w:rsidRPr="00A903EA">
        <w:rPr>
          <w:lang w:val="en-US"/>
        </w:rPr>
        <w:t>Jiménez-</w:t>
      </w:r>
      <w:proofErr w:type="spellStart"/>
      <w:r w:rsidRPr="00A903EA">
        <w:rPr>
          <w:lang w:val="en-US"/>
        </w:rPr>
        <w:t>ramírez</w:t>
      </w:r>
      <w:proofErr w:type="spellEnd"/>
      <w:r w:rsidRPr="00A903EA">
        <w:rPr>
          <w:lang w:val="en-US"/>
        </w:rPr>
        <w:t xml:space="preserve">, A.; Weber, B.; Barba, I.; Del Valle, C.: Generating optimized configurable business process models in scenarios subject to uncertainty. </w:t>
      </w:r>
      <w:proofErr w:type="spellStart"/>
      <w:r w:rsidRPr="00A903EA">
        <w:rPr>
          <w:lang w:val="en-US"/>
        </w:rPr>
        <w:t>Informationand</w:t>
      </w:r>
      <w:proofErr w:type="spellEnd"/>
      <w:r w:rsidRPr="00A903EA">
        <w:rPr>
          <w:lang w:val="en-US"/>
        </w:rPr>
        <w:t xml:space="preserve"> Software Technology, vol. 57, n. 1, pp. 571–594, (2015).</w:t>
      </w:r>
    </w:p>
    <w:p w14:paraId="6AA01BF5"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 Charters, S.: Guidelines for performing Systematic Literature Reviews in Software Engineering, in: Technical Report EBSE 2007-001, </w:t>
      </w:r>
      <w:proofErr w:type="spellStart"/>
      <w:r w:rsidRPr="00A903EA">
        <w:rPr>
          <w:lang w:val="en-US"/>
        </w:rPr>
        <w:t>Keele</w:t>
      </w:r>
      <w:proofErr w:type="spellEnd"/>
      <w:r w:rsidRPr="00A903EA">
        <w:rPr>
          <w:lang w:val="en-US"/>
        </w:rPr>
        <w:t xml:space="preserve"> University and Durham University Joint Report, (2007).</w:t>
      </w:r>
    </w:p>
    <w:p w14:paraId="1B5D7460"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Barbara A.; DYBA, Tore; JORGENSEN, </w:t>
      </w:r>
      <w:proofErr w:type="spellStart"/>
      <w:r w:rsidRPr="00A903EA">
        <w:rPr>
          <w:lang w:val="en-US"/>
        </w:rPr>
        <w:t>Magne</w:t>
      </w:r>
      <w:proofErr w:type="spellEnd"/>
      <w:r w:rsidRPr="00A903EA">
        <w:rPr>
          <w:lang w:val="en-US"/>
        </w:rPr>
        <w:t>. Evidence-based software engineering. In: Proceedings of the 26th international conference on software engineering. IEEE Computer Society, pp. 273-281 (2004).</w:t>
      </w:r>
    </w:p>
    <w:p w14:paraId="6B464FB4" w14:textId="77777777" w:rsidR="00AE4603" w:rsidRPr="00A903EA" w:rsidRDefault="00AE4603" w:rsidP="00AE4603">
      <w:pPr>
        <w:rPr>
          <w:lang w:val="en-US"/>
        </w:rPr>
      </w:pPr>
      <w:r w:rsidRPr="00A903EA">
        <w:rPr>
          <w:lang w:val="en-US"/>
        </w:rPr>
        <w:t>Ko, R. K. L.: A computer scientist’s introductory guide to business process management (BPM), XRDS: Crossroads, The ACM Magazine for Students, vol. 15, n. 4 (2009).</w:t>
      </w:r>
    </w:p>
    <w:p w14:paraId="036C9B83" w14:textId="77777777" w:rsidR="00AE4603" w:rsidRPr="00A903EA" w:rsidRDefault="00AE4603" w:rsidP="00AE4603">
      <w:pPr>
        <w:rPr>
          <w:lang w:val="en-US"/>
        </w:rPr>
      </w:pPr>
      <w:r w:rsidRPr="00A903EA">
        <w:rPr>
          <w:lang w:val="en-US"/>
        </w:rPr>
        <w:t xml:space="preserve">Laue, R.; </w:t>
      </w:r>
      <w:proofErr w:type="spellStart"/>
      <w:r w:rsidRPr="00A903EA">
        <w:rPr>
          <w:lang w:val="en-US"/>
        </w:rPr>
        <w:t>Gadatsch</w:t>
      </w:r>
      <w:proofErr w:type="spellEnd"/>
      <w:r w:rsidRPr="00A903EA">
        <w:rPr>
          <w:lang w:val="en-US"/>
        </w:rPr>
        <w:t xml:space="preserve">, A. Measuring the understandability of business process models are we asking the right questions? In: SPRINGER. </w:t>
      </w:r>
      <w:proofErr w:type="spellStart"/>
      <w:r w:rsidRPr="00A903EA">
        <w:rPr>
          <w:lang w:val="en-US"/>
        </w:rPr>
        <w:t>InternationalConferenceon</w:t>
      </w:r>
      <w:proofErr w:type="spellEnd"/>
      <w:r w:rsidRPr="00A903EA">
        <w:rPr>
          <w:lang w:val="en-US"/>
        </w:rPr>
        <w:t xml:space="preserve"> Business Process Management, pp. 37–48 (2010).</w:t>
      </w:r>
    </w:p>
    <w:p w14:paraId="7896B273" w14:textId="77777777" w:rsidR="00AE4603" w:rsidRPr="00A903EA" w:rsidRDefault="00AE4603" w:rsidP="00AE4603">
      <w:pPr>
        <w:rPr>
          <w:lang w:val="en-US"/>
        </w:rPr>
      </w:pPr>
      <w:r w:rsidRPr="00A903EA">
        <w:rPr>
          <w:lang w:val="en-US"/>
        </w:rPr>
        <w:t xml:space="preserve">M. </w:t>
      </w:r>
      <w:proofErr w:type="spellStart"/>
      <w:r w:rsidRPr="00A903EA">
        <w:rPr>
          <w:lang w:val="en-US"/>
        </w:rPr>
        <w:t>Petticrew</w:t>
      </w:r>
      <w:proofErr w:type="spellEnd"/>
      <w:r w:rsidRPr="00A903EA">
        <w:rPr>
          <w:lang w:val="en-US"/>
        </w:rPr>
        <w:t>, H. Roberts, “Systematic Reviews in the Social Sciences: A Practical Guide,” Blackwell Publishing, 2005, ISBN 1405121106.</w:t>
      </w:r>
    </w:p>
    <w:p w14:paraId="4848D904" w14:textId="77777777" w:rsidR="00AE4603" w:rsidRDefault="00AE4603" w:rsidP="00AE4603">
      <w:r w:rsidRPr="00A903EA">
        <w:rPr>
          <w:lang w:val="en-US"/>
        </w:rPr>
        <w:t xml:space="preserve">Melcher, J.; </w:t>
      </w:r>
      <w:proofErr w:type="spellStart"/>
      <w:r w:rsidRPr="00A903EA">
        <w:rPr>
          <w:lang w:val="en-US"/>
        </w:rPr>
        <w:t>Seese</w:t>
      </w:r>
      <w:proofErr w:type="spellEnd"/>
      <w:r w:rsidRPr="00A903EA">
        <w:rPr>
          <w:lang w:val="en-US"/>
        </w:rPr>
        <w:t xml:space="preserve">, D.: Towards validating prediction systems for process understandability: Measuring process understandability. </w:t>
      </w:r>
      <w:proofErr w:type="spellStart"/>
      <w:r>
        <w:t>Proceedingsofthe</w:t>
      </w:r>
      <w:proofErr w:type="spellEnd"/>
      <w:r>
        <w:t xml:space="preserve"> 2008 10th SYNASC 2008. </w:t>
      </w:r>
      <w:proofErr w:type="spellStart"/>
      <w:r>
        <w:t>Anais.Timisoara</w:t>
      </w:r>
      <w:proofErr w:type="spellEnd"/>
      <w:r>
        <w:t>: IEEE, (2008).</w:t>
      </w:r>
    </w:p>
    <w:p w14:paraId="2DBA5661"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ReijersH</w:t>
      </w:r>
      <w:proofErr w:type="spellEnd"/>
      <w:r w:rsidRPr="00A903EA">
        <w:rPr>
          <w:lang w:val="en-US"/>
        </w:rPr>
        <w:t xml:space="preserve">.; Cardoso, E. J.; What Makes Process Models </w:t>
      </w:r>
      <w:proofErr w:type="gramStart"/>
      <w:r w:rsidRPr="00A903EA">
        <w:rPr>
          <w:lang w:val="en-US"/>
        </w:rPr>
        <w:t>Understandable?,</w:t>
      </w:r>
      <w:proofErr w:type="gramEnd"/>
      <w:r w:rsidRPr="00A903EA">
        <w:rPr>
          <w:lang w:val="en-US"/>
        </w:rPr>
        <w:t xml:space="preserve"> In: Business Process </w:t>
      </w:r>
      <w:proofErr w:type="spellStart"/>
      <w:r w:rsidRPr="00A903EA">
        <w:rPr>
          <w:lang w:val="en-US"/>
        </w:rPr>
        <w:t>Management,Springer</w:t>
      </w:r>
      <w:proofErr w:type="spellEnd"/>
      <w:r w:rsidRPr="00A903EA">
        <w:rPr>
          <w:lang w:val="en-US"/>
        </w:rPr>
        <w:t>, Berlin, Heidelberg,  pp. 48–63, (2007).</w:t>
      </w:r>
    </w:p>
    <w:p w14:paraId="60909E9A"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Strembeck</w:t>
      </w:r>
      <w:proofErr w:type="spellEnd"/>
      <w:r w:rsidRPr="00A903EA">
        <w:rPr>
          <w:lang w:val="en-US"/>
        </w:rPr>
        <w:t xml:space="preserve">, M.; Recker, J: Factors of process model comprehension—findings from a series of experiments. </w:t>
      </w:r>
      <w:proofErr w:type="spellStart"/>
      <w:r w:rsidRPr="00A903EA">
        <w:rPr>
          <w:lang w:val="en-US"/>
        </w:rPr>
        <w:t>DecisionSupport</w:t>
      </w:r>
      <w:proofErr w:type="spellEnd"/>
      <w:r w:rsidRPr="00A903EA">
        <w:rPr>
          <w:lang w:val="en-US"/>
        </w:rPr>
        <w:t xml:space="preserve"> Systems, Elsevier, vol. 53, n. 1, pp. 195–206 (2012).</w:t>
      </w:r>
    </w:p>
    <w:p w14:paraId="27217235" w14:textId="77777777" w:rsidR="00AE4603" w:rsidRPr="00A903EA" w:rsidRDefault="00AE4603" w:rsidP="00AE4603">
      <w:pPr>
        <w:rPr>
          <w:lang w:val="en-US"/>
        </w:rPr>
      </w:pPr>
      <w:r w:rsidRPr="00A903EA">
        <w:rPr>
          <w:lang w:val="en-US"/>
        </w:rPr>
        <w:t>Mendoza, V.; Silveira, D. S.; Albuquerque, M. L.; Araújo, J.: Verifying BPMN Understandability with Novice Business, 33rd Symposium on Applied Computing - ACM/SIGAPP, Pau – France, ACM, pp. 94-101 (2018).</w:t>
      </w:r>
    </w:p>
    <w:p w14:paraId="4927232F" w14:textId="77777777" w:rsidR="00AE4603" w:rsidRPr="00A903EA" w:rsidRDefault="00AE4603" w:rsidP="00AE4603">
      <w:pPr>
        <w:rPr>
          <w:lang w:val="en-US"/>
        </w:rPr>
      </w:pPr>
      <w:proofErr w:type="spellStart"/>
      <w:r w:rsidRPr="00A903EA">
        <w:rPr>
          <w:lang w:val="en-US"/>
        </w:rPr>
        <w:t>Mohd</w:t>
      </w:r>
      <w:proofErr w:type="spellEnd"/>
      <w:r w:rsidRPr="00A903EA">
        <w:rPr>
          <w:lang w:val="en-US"/>
        </w:rPr>
        <w:t>, N.; Ahmad, R.; Hassan, N.: Resistance factors in the implementation of software process improvement project. Journal of Computer Science, pp. 211-219 (2008).</w:t>
      </w:r>
    </w:p>
    <w:p w14:paraId="7D7DAA4C" w14:textId="77777777" w:rsidR="00AE4603" w:rsidRPr="00A903EA" w:rsidRDefault="00AE4603" w:rsidP="00AE4603">
      <w:pPr>
        <w:rPr>
          <w:lang w:val="en-US"/>
        </w:rPr>
      </w:pPr>
      <w:r w:rsidRPr="00A903EA">
        <w:rPr>
          <w:lang w:val="en-US"/>
        </w:rPr>
        <w:t xml:space="preserve">Molina, A. I.; Redondo, M. A.; Ortega, M.; </w:t>
      </w:r>
      <w:proofErr w:type="spellStart"/>
      <w:r w:rsidRPr="00A903EA">
        <w:rPr>
          <w:lang w:val="en-US"/>
        </w:rPr>
        <w:t>Lacave</w:t>
      </w:r>
      <w:proofErr w:type="spellEnd"/>
      <w:r w:rsidRPr="00A903EA">
        <w:rPr>
          <w:lang w:val="en-US"/>
        </w:rPr>
        <w:t xml:space="preserve">, C.: Evaluating a graphical notation for modeling collaborative learning activities: A family of experiments. In: Science of Computer Programming, v. 88, pp. 54-81, (2014). </w:t>
      </w:r>
    </w:p>
    <w:p w14:paraId="58FB18D9" w14:textId="77777777" w:rsidR="00AE4603" w:rsidRPr="00A903EA" w:rsidRDefault="00AE4603" w:rsidP="00AE4603">
      <w:pPr>
        <w:rPr>
          <w:lang w:val="en-US"/>
        </w:rPr>
      </w:pPr>
      <w:r w:rsidRPr="00A903EA">
        <w:rPr>
          <w:lang w:val="en-US"/>
        </w:rPr>
        <w:t>Moody, D.; The “physics” of notations: toward a scientific basis for constructing visual notations in software engineering, In: IEEE Transactions on Software Engineering, 35(6), pp. 756–779, (2009).</w:t>
      </w:r>
    </w:p>
    <w:p w14:paraId="33F524C2" w14:textId="77777777" w:rsidR="00AE4603" w:rsidRPr="00A903EA" w:rsidRDefault="00AE4603" w:rsidP="00AE4603">
      <w:pPr>
        <w:rPr>
          <w:lang w:val="en-US"/>
        </w:rPr>
      </w:pPr>
      <w:proofErr w:type="spellStart"/>
      <w:r w:rsidRPr="00A903EA">
        <w:rPr>
          <w:lang w:val="en-US"/>
        </w:rPr>
        <w:t>Pavlicek</w:t>
      </w:r>
      <w:proofErr w:type="spellEnd"/>
      <w:r w:rsidRPr="00A903EA">
        <w:rPr>
          <w:lang w:val="en-US"/>
        </w:rPr>
        <w:t xml:space="preserve">, J.; </w:t>
      </w:r>
      <w:proofErr w:type="spellStart"/>
      <w:r w:rsidRPr="00A903EA">
        <w:rPr>
          <w:lang w:val="en-US"/>
        </w:rPr>
        <w:t>Hronza</w:t>
      </w:r>
      <w:proofErr w:type="spellEnd"/>
      <w:r w:rsidRPr="00A903EA">
        <w:rPr>
          <w:lang w:val="en-US"/>
        </w:rPr>
        <w:t xml:space="preserve">, R.; </w:t>
      </w:r>
      <w:proofErr w:type="spellStart"/>
      <w:r w:rsidRPr="00A903EA">
        <w:rPr>
          <w:lang w:val="en-US"/>
        </w:rPr>
        <w:t>Pavlickova</w:t>
      </w:r>
      <w:proofErr w:type="spellEnd"/>
      <w:r w:rsidRPr="00A903EA">
        <w:rPr>
          <w:lang w:val="en-US"/>
        </w:rPr>
        <w:t xml:space="preserve">, P.; </w:t>
      </w:r>
      <w:proofErr w:type="spellStart"/>
      <w:r w:rsidRPr="00A903EA">
        <w:rPr>
          <w:lang w:val="en-US"/>
        </w:rPr>
        <w:t>Jelinkova</w:t>
      </w:r>
      <w:proofErr w:type="spellEnd"/>
      <w:r w:rsidRPr="00A903EA">
        <w:rPr>
          <w:lang w:val="en-US"/>
        </w:rPr>
        <w:t>, K.: The Business Process Model Quality Metrics. In: Enterprise and Organizational Modeling and Simulation. pp. 134-148 (2017).</w:t>
      </w:r>
    </w:p>
    <w:p w14:paraId="5E8FFDD7" w14:textId="77777777" w:rsidR="00AE4603" w:rsidRPr="00A903EA" w:rsidRDefault="00AE4603" w:rsidP="00AE4603">
      <w:pPr>
        <w:rPr>
          <w:lang w:val="en-US"/>
        </w:rPr>
      </w:pPr>
      <w:r w:rsidRPr="00A903EA">
        <w:rPr>
          <w:lang w:val="en-US"/>
        </w:rPr>
        <w:lastRenderedPageBreak/>
        <w:t xml:space="preserve">Petersen, K.; Feldt, R.; Mujtaba, S.; </w:t>
      </w:r>
      <w:proofErr w:type="spellStart"/>
      <w:r w:rsidRPr="00A903EA">
        <w:rPr>
          <w:lang w:val="en-US"/>
        </w:rPr>
        <w:t>Mattsson</w:t>
      </w:r>
      <w:proofErr w:type="spellEnd"/>
      <w:r w:rsidRPr="00A903EA">
        <w:rPr>
          <w:lang w:val="en-US"/>
        </w:rPr>
        <w:t>, M.: Systematic mapping studies in software engineering, in: EASE ’08: Proceedings of the 12th International Conference on Evaluation and Assessment in Software Engineering, vol. 8, pp. 68-77 (2008).</w:t>
      </w:r>
    </w:p>
    <w:p w14:paraId="550A195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J.: Eye-tracking the factors of process model comprehension tasks. In: International Conference on Advanced Information Systems Engineering, pp. 224-239. Springer, Berlin, Heidelberg (2013).</w:t>
      </w:r>
    </w:p>
    <w:p w14:paraId="7F7BF313"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How visual cognition influences process model comprehension. </w:t>
      </w:r>
      <w:proofErr w:type="spellStart"/>
      <w:r w:rsidRPr="00A903EA">
        <w:rPr>
          <w:lang w:val="en-US"/>
        </w:rPr>
        <w:t>DecisionSupport</w:t>
      </w:r>
      <w:proofErr w:type="spellEnd"/>
      <w:r w:rsidRPr="00A903EA">
        <w:rPr>
          <w:lang w:val="en-US"/>
        </w:rPr>
        <w:t xml:space="preserve"> Systems, vol 96, pp. 1-16. Elsevier (2017).</w:t>
      </w:r>
    </w:p>
    <w:p w14:paraId="51292E7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Task-specific visual cues for improving process model understanding. </w:t>
      </w:r>
      <w:proofErr w:type="spellStart"/>
      <w:r w:rsidRPr="00A903EA">
        <w:rPr>
          <w:lang w:val="en-US"/>
        </w:rPr>
        <w:t>Informationand</w:t>
      </w:r>
      <w:proofErr w:type="spellEnd"/>
      <w:r w:rsidRPr="00A903EA">
        <w:rPr>
          <w:lang w:val="en-US"/>
        </w:rPr>
        <w:t xml:space="preserve"> Software Technology, 79, pp. 63-78 (2016).</w:t>
      </w:r>
    </w:p>
    <w:p w14:paraId="33E964BA" w14:textId="77777777" w:rsidR="00AE4603" w:rsidRPr="00A903EA" w:rsidRDefault="00AE4603" w:rsidP="00AE4603">
      <w:pPr>
        <w:rPr>
          <w:lang w:val="en-US"/>
        </w:rPr>
      </w:pPr>
      <w:proofErr w:type="spellStart"/>
      <w:r w:rsidRPr="00A903EA">
        <w:rPr>
          <w:lang w:val="en-US"/>
        </w:rPr>
        <w:t>Pinggera</w:t>
      </w:r>
      <w:proofErr w:type="spellEnd"/>
      <w:r w:rsidRPr="00A903EA">
        <w:rPr>
          <w:lang w:val="en-US"/>
        </w:rPr>
        <w:t xml:space="preserve">, J.; </w:t>
      </w:r>
      <w:proofErr w:type="spellStart"/>
      <w:r w:rsidRPr="00A903EA">
        <w:rPr>
          <w:lang w:val="en-US"/>
        </w:rPr>
        <w:t>Furtner</w:t>
      </w:r>
      <w:proofErr w:type="spellEnd"/>
      <w:r w:rsidRPr="00A903EA">
        <w:rPr>
          <w:lang w:val="en-US"/>
        </w:rPr>
        <w:t xml:space="preserve">, M.; Martini, M.; Sachse, P.; Reiter, K.; </w:t>
      </w:r>
      <w:proofErr w:type="spellStart"/>
      <w:r w:rsidRPr="00A903EA">
        <w:rPr>
          <w:lang w:val="en-US"/>
        </w:rPr>
        <w:t>Zugal</w:t>
      </w:r>
      <w:proofErr w:type="spellEnd"/>
      <w:r w:rsidRPr="00A903EA">
        <w:rPr>
          <w:lang w:val="en-US"/>
        </w:rPr>
        <w:t>, S.; Weber, B.: Investigating the process of process modeling with eye movement analysis. In: International Conference on Business Process Management. pp. 438-450. Springer, Berlin, (2012).</w:t>
      </w:r>
    </w:p>
    <w:p w14:paraId="1BC9FBF4" w14:textId="77777777" w:rsidR="00AE4603" w:rsidRPr="00A903EA" w:rsidRDefault="00AE4603" w:rsidP="00AE4603">
      <w:pPr>
        <w:rPr>
          <w:lang w:val="en-US"/>
        </w:rPr>
      </w:pPr>
      <w:r w:rsidRPr="00A903EA">
        <w:rPr>
          <w:lang w:val="en-US"/>
        </w:rPr>
        <w:t xml:space="preserve">Rodrigues, R. D. A.; Barros, M. D. O.; </w:t>
      </w:r>
      <w:proofErr w:type="spellStart"/>
      <w:r w:rsidRPr="00A903EA">
        <w:rPr>
          <w:lang w:val="en-US"/>
        </w:rPr>
        <w:t>Revoredo</w:t>
      </w:r>
      <w:proofErr w:type="spellEnd"/>
      <w:r w:rsidRPr="00A903EA">
        <w:rPr>
          <w:lang w:val="en-US"/>
        </w:rPr>
        <w:t>, K.; Azevedo, L. G.; Leopold H.: An experiment on process model understandability using textual work instructions and BPMN models, In: 29th SBES, pp. 41-50, (2015).</w:t>
      </w:r>
    </w:p>
    <w:p w14:paraId="2ED384F3" w14:textId="77777777" w:rsidR="00AE4603" w:rsidRPr="00A903EA" w:rsidRDefault="00AE4603" w:rsidP="00AE4603">
      <w:pPr>
        <w:rPr>
          <w:lang w:val="en-US"/>
        </w:rPr>
      </w:pPr>
      <w:r w:rsidRPr="00A903EA">
        <w:rPr>
          <w:lang w:val="en-US"/>
        </w:rPr>
        <w:t xml:space="preserve">Santos, M.; </w:t>
      </w:r>
      <w:proofErr w:type="spellStart"/>
      <w:r w:rsidRPr="00A903EA">
        <w:rPr>
          <w:lang w:val="en-US"/>
        </w:rPr>
        <w:t>Gralha</w:t>
      </w:r>
      <w:proofErr w:type="spellEnd"/>
      <w:r w:rsidRPr="00A903EA">
        <w:rPr>
          <w:lang w:val="en-US"/>
        </w:rPr>
        <w:t xml:space="preserve">, C.; </w:t>
      </w:r>
      <w:proofErr w:type="spellStart"/>
      <w:r w:rsidRPr="00A903EA">
        <w:rPr>
          <w:lang w:val="en-US"/>
        </w:rPr>
        <w:t>Goulão</w:t>
      </w:r>
      <w:proofErr w:type="spellEnd"/>
      <w:r w:rsidRPr="00A903EA">
        <w:rPr>
          <w:lang w:val="en-US"/>
        </w:rPr>
        <w:t xml:space="preserve">, M., Araújo, J.; Moreira, A.; </w:t>
      </w:r>
      <w:proofErr w:type="spellStart"/>
      <w:r w:rsidRPr="00A903EA">
        <w:rPr>
          <w:lang w:val="en-US"/>
        </w:rPr>
        <w:t>Cambeiro</w:t>
      </w:r>
      <w:proofErr w:type="spellEnd"/>
      <w:r w:rsidRPr="00A903EA">
        <w:rPr>
          <w:lang w:val="en-US"/>
        </w:rPr>
        <w:t xml:space="preserve">, J.: What is the Impact of Bad Layout in the Understandability of Social Goal Models?, in: 24th IEEE Requirements </w:t>
      </w:r>
      <w:proofErr w:type="spellStart"/>
      <w:r w:rsidRPr="00A903EA">
        <w:rPr>
          <w:lang w:val="en-US"/>
        </w:rPr>
        <w:t>Engi-neering</w:t>
      </w:r>
      <w:proofErr w:type="spellEnd"/>
      <w:r w:rsidRPr="00A903EA">
        <w:rPr>
          <w:lang w:val="en-US"/>
        </w:rPr>
        <w:t xml:space="preserve"> Conference - RE, Beijing – China, pp. 206-215, (2016).</w:t>
      </w:r>
    </w:p>
    <w:p w14:paraId="03A038CB" w14:textId="77777777" w:rsidR="00AE4603" w:rsidRPr="00A903EA" w:rsidRDefault="00AE4603" w:rsidP="00AE4603">
      <w:pPr>
        <w:rPr>
          <w:lang w:val="en-US"/>
        </w:rPr>
      </w:pPr>
      <w:proofErr w:type="spellStart"/>
      <w:r w:rsidRPr="00A903EA">
        <w:rPr>
          <w:lang w:val="en-US"/>
        </w:rPr>
        <w:t>Sharafi</w:t>
      </w:r>
      <w:proofErr w:type="spellEnd"/>
      <w:r w:rsidRPr="00A903EA">
        <w:rPr>
          <w:lang w:val="en-US"/>
        </w:rPr>
        <w:t>, Z.; Shaffer, T.; Sharif B.: Eye-Tracking Metrics in Software Engineering, In: Asia-Pacific Software Engineering Conference – APSEC, pp. 96–103, (2015).</w:t>
      </w:r>
    </w:p>
    <w:p w14:paraId="34AF8768" w14:textId="77777777" w:rsidR="00AE4603" w:rsidRPr="00A903EA" w:rsidRDefault="00AE4603" w:rsidP="00AE4603">
      <w:pPr>
        <w:rPr>
          <w:lang w:val="en-US"/>
        </w:rPr>
      </w:pPr>
      <w:proofErr w:type="spellStart"/>
      <w:r w:rsidRPr="00A903EA">
        <w:rPr>
          <w:lang w:val="en-US"/>
        </w:rPr>
        <w:t>Unterkalmsteiner</w:t>
      </w:r>
      <w:proofErr w:type="spellEnd"/>
      <w:r w:rsidRPr="00A903EA">
        <w:rPr>
          <w:lang w:val="en-US"/>
        </w:rPr>
        <w:t xml:space="preserve">, M.; </w:t>
      </w:r>
      <w:proofErr w:type="spellStart"/>
      <w:r w:rsidRPr="00A903EA">
        <w:rPr>
          <w:lang w:val="en-US"/>
        </w:rPr>
        <w:t>Gorschek</w:t>
      </w:r>
      <w:proofErr w:type="spellEnd"/>
      <w:r w:rsidRPr="00A903EA">
        <w:rPr>
          <w:lang w:val="en-US"/>
        </w:rPr>
        <w:t xml:space="preserve">, T.; Islam, A.K.M.M.; Cheng, C. K.; </w:t>
      </w:r>
      <w:proofErr w:type="spellStart"/>
      <w:r w:rsidRPr="00A903EA">
        <w:rPr>
          <w:lang w:val="en-US"/>
        </w:rPr>
        <w:t>Permadi</w:t>
      </w:r>
      <w:proofErr w:type="spellEnd"/>
      <w:r w:rsidRPr="00A903EA">
        <w:rPr>
          <w:lang w:val="en-US"/>
        </w:rPr>
        <w:t>, R. B.; Feldt, R.: Evaluation and Measurement of Software Process Improvement: A Systematic Literature Review, IEEE Transactions on Software Engineering, vol. 38, p. 398-424 (2011).</w:t>
      </w:r>
    </w:p>
    <w:p w14:paraId="4CEA7B72" w14:textId="77777777" w:rsidR="00AE4603" w:rsidRPr="00A903EA" w:rsidRDefault="00AE4603" w:rsidP="00AE4603">
      <w:pPr>
        <w:rPr>
          <w:lang w:val="en-US"/>
        </w:rPr>
      </w:pPr>
      <w:r w:rsidRPr="00A903EA">
        <w:rPr>
          <w:lang w:val="en-US"/>
        </w:rPr>
        <w:t xml:space="preserve">Vermeulen, S.: Real-Time Business Process Model Tailoring: The Effect of Domain Knowledge on Reading Strategy. In: </w:t>
      </w:r>
      <w:proofErr w:type="spellStart"/>
      <w:r w:rsidRPr="00A903EA">
        <w:rPr>
          <w:lang w:val="en-US"/>
        </w:rPr>
        <w:t>Debruyne</w:t>
      </w:r>
      <w:proofErr w:type="spellEnd"/>
      <w:r w:rsidRPr="00A903EA">
        <w:rPr>
          <w:lang w:val="en-US"/>
        </w:rPr>
        <w:t xml:space="preserve"> C. et al. (eds) On the Move to Meaningful Internet Systems. OTM 2017 Workshops, vol: 10697, pp. 280-286, Springer (2018).</w:t>
      </w:r>
    </w:p>
    <w:p w14:paraId="5A8E9602" w14:textId="77777777" w:rsidR="00AE4603" w:rsidRPr="00A903EA" w:rsidRDefault="00AE4603" w:rsidP="00AE4603">
      <w:pPr>
        <w:rPr>
          <w:lang w:val="en-US"/>
        </w:rPr>
      </w:pPr>
      <w:r w:rsidRPr="00A903EA">
        <w:rPr>
          <w:lang w:val="en-US"/>
        </w:rPr>
        <w:t xml:space="preserve">Wahl, T.; </w:t>
      </w:r>
      <w:proofErr w:type="spellStart"/>
      <w:r w:rsidRPr="00A903EA">
        <w:rPr>
          <w:lang w:val="en-US"/>
        </w:rPr>
        <w:t>Sindre</w:t>
      </w:r>
      <w:proofErr w:type="spellEnd"/>
      <w:r w:rsidRPr="00A903EA">
        <w:rPr>
          <w:lang w:val="en-US"/>
        </w:rPr>
        <w:t xml:space="preserve">, G.: An analytical evaluation of BPMN </w:t>
      </w:r>
      <w:proofErr w:type="spellStart"/>
      <w:r w:rsidRPr="00A903EA">
        <w:rPr>
          <w:lang w:val="en-US"/>
        </w:rPr>
        <w:t>usi¬ng</w:t>
      </w:r>
      <w:proofErr w:type="spellEnd"/>
      <w:r w:rsidRPr="00A903EA">
        <w:rPr>
          <w:lang w:val="en-US"/>
        </w:rPr>
        <w:t xml:space="preserve"> a semiotic quality framework, Advanced topics in database research, vol. 5, pp. 94-105 (2006).</w:t>
      </w:r>
    </w:p>
    <w:p w14:paraId="2B1DC383" w14:textId="77777777" w:rsidR="00AE4603" w:rsidRPr="00A903EA" w:rsidRDefault="00AE4603" w:rsidP="00AE4603">
      <w:pPr>
        <w:rPr>
          <w:lang w:val="en-US"/>
        </w:rPr>
      </w:pPr>
      <w:r w:rsidRPr="00A903EA">
        <w:rPr>
          <w:lang w:val="en-US"/>
        </w:rPr>
        <w:t>Wang, W.: The Effect of Rule Linking on Business Process Model Understanding. In: Integrating Business Process Models and Rules. Springer, Cham. p. 42-59 (2019).</w:t>
      </w:r>
    </w:p>
    <w:p w14:paraId="2FE24AF0"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Burattin</w:t>
      </w:r>
      <w:proofErr w:type="spellEnd"/>
      <w:r w:rsidRPr="00A903EA">
        <w:rPr>
          <w:lang w:val="en-US"/>
        </w:rPr>
        <w:t xml:space="preserve">, A.; </w:t>
      </w:r>
      <w:proofErr w:type="spellStart"/>
      <w:r w:rsidRPr="00A903EA">
        <w:rPr>
          <w:lang w:val="en-US"/>
        </w:rPr>
        <w:t>Pinggera</w:t>
      </w:r>
      <w:proofErr w:type="spellEnd"/>
      <w:r w:rsidRPr="00A903EA">
        <w:rPr>
          <w:lang w:val="en-US"/>
        </w:rPr>
        <w:t xml:space="preserve">, J.; Davis, C.: Measuring and Explaining Cognitive Load During Design Activities: A Fine-Grained Approach. In: Information Systems and Neuroscience. Lecture Notes in Information Systems and </w:t>
      </w:r>
      <w:proofErr w:type="spellStart"/>
      <w:r w:rsidRPr="00A903EA">
        <w:rPr>
          <w:lang w:val="en-US"/>
        </w:rPr>
        <w:t>Organisation</w:t>
      </w:r>
      <w:proofErr w:type="spellEnd"/>
      <w:r w:rsidRPr="00A903EA">
        <w:rPr>
          <w:lang w:val="en-US"/>
        </w:rPr>
        <w:t xml:space="preserve"> 2017, vol 25, pp. 47-53. Springer, Cham (2018).</w:t>
      </w:r>
    </w:p>
    <w:p w14:paraId="1761A491"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Pinggera</w:t>
      </w:r>
      <w:proofErr w:type="spellEnd"/>
      <w:r w:rsidRPr="00A903EA">
        <w:rPr>
          <w:lang w:val="en-US"/>
        </w:rPr>
        <w:t xml:space="preserve">, J.; </w:t>
      </w:r>
      <w:proofErr w:type="spellStart"/>
      <w:r w:rsidRPr="00A903EA">
        <w:rPr>
          <w:lang w:val="en-US"/>
        </w:rPr>
        <w:t>Zugal</w:t>
      </w:r>
      <w:proofErr w:type="spellEnd"/>
      <w:r w:rsidRPr="00A903EA">
        <w:rPr>
          <w:lang w:val="en-US"/>
        </w:rPr>
        <w:t xml:space="preserve">, S.; </w:t>
      </w:r>
      <w:proofErr w:type="spellStart"/>
      <w:r w:rsidRPr="00A903EA">
        <w:rPr>
          <w:lang w:val="en-US"/>
        </w:rPr>
        <w:t>Furtner</w:t>
      </w:r>
      <w:proofErr w:type="spellEnd"/>
      <w:r w:rsidRPr="00A903EA">
        <w:rPr>
          <w:lang w:val="en-US"/>
        </w:rPr>
        <w:t>, M.; Martini, M.; Sachse, P.: Measuring cognitive load during process model creation. In: Information Systems and Neuroscience, pp. 129-136. Springer, Cham (2015).</w:t>
      </w:r>
    </w:p>
    <w:p w14:paraId="17F31E2D" w14:textId="77777777" w:rsidR="00AE4603" w:rsidRPr="00A903EA" w:rsidRDefault="00AE4603" w:rsidP="00AE4603">
      <w:pPr>
        <w:rPr>
          <w:lang w:val="en-US"/>
        </w:rPr>
      </w:pPr>
      <w:proofErr w:type="spellStart"/>
      <w:r w:rsidRPr="00A903EA">
        <w:rPr>
          <w:lang w:val="en-US"/>
        </w:rPr>
        <w:lastRenderedPageBreak/>
        <w:t>Zimoch</w:t>
      </w:r>
      <w:proofErr w:type="spellEnd"/>
      <w:r w:rsidRPr="00A903EA">
        <w:rPr>
          <w:lang w:val="en-US"/>
        </w:rPr>
        <w:t xml:space="preserve">, M.; </w:t>
      </w:r>
      <w:proofErr w:type="spellStart"/>
      <w:r w:rsidRPr="00A903EA">
        <w:rPr>
          <w:lang w:val="en-US"/>
        </w:rPr>
        <w:t>Mohring</w:t>
      </w:r>
      <w:proofErr w:type="spellEnd"/>
      <w:r w:rsidRPr="00A903EA">
        <w:rPr>
          <w:lang w:val="en-US"/>
        </w:rPr>
        <w:t xml:space="preserve">, T.;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W.; Reichert, M.: Using Insights from Cognitive Neuroscience to Investigate the Effects of Event-Driven Process Chains on Process Model Comprehension. In: Business Process Management Workshops. Vol: 308, pp. 446-459, Springer, Cham (2018).</w:t>
      </w:r>
    </w:p>
    <w:p w14:paraId="64D97378"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Layher</w:t>
      </w:r>
      <w:proofErr w:type="spellEnd"/>
      <w:r w:rsidRPr="00A903EA">
        <w:rPr>
          <w:lang w:val="en-US"/>
        </w:rPr>
        <w:t xml:space="preserve">, G.; Neumann, H.; Probst, T.; </w:t>
      </w:r>
      <w:proofErr w:type="spellStart"/>
      <w:r w:rsidRPr="00A903EA">
        <w:rPr>
          <w:lang w:val="en-US"/>
        </w:rPr>
        <w:t>Schlee</w:t>
      </w:r>
      <w:proofErr w:type="spellEnd"/>
      <w:r w:rsidRPr="00A903EA">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52FBB9B"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xml:space="preserve">, W.; Reichert, M.: Cognitive Insights into Business Process Model Comprehension: Preliminary Results for Experienced and Inexperienced Individuals.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BPMDS 2017, vol 287, pp. 137-152. Springer, Cham (2017).</w:t>
      </w:r>
    </w:p>
    <w:p w14:paraId="3E5EE2B4" w14:textId="0B26D060" w:rsidR="00B37B00" w:rsidRPr="00404D29" w:rsidRDefault="00AE4603" w:rsidP="00AE4603">
      <w:pPr>
        <w:pBdr>
          <w:bottom w:val="single" w:sz="6" w:space="1" w:color="auto"/>
        </w:pBd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Schobel</w:t>
      </w:r>
      <w:proofErr w:type="spellEnd"/>
      <w:r w:rsidRPr="00A903EA">
        <w:rPr>
          <w:lang w:val="en-US"/>
        </w:rPr>
        <w:t xml:space="preserve">, J.; Reichert, M.: Eye Tracking Experiments on Process Model Comprehension: Lessons Learned.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Enterprise, Business-</w:t>
      </w:r>
      <w:proofErr w:type="gramStart"/>
      <w:r w:rsidRPr="00A903EA">
        <w:rPr>
          <w:lang w:val="en-US"/>
        </w:rPr>
        <w:t>Process</w:t>
      </w:r>
      <w:proofErr w:type="gramEnd"/>
      <w:r w:rsidRPr="00A903EA">
        <w:rPr>
          <w:lang w:val="en-US"/>
        </w:rPr>
        <w:t xml:space="preserve"> and Information Systems Modeling. </w:t>
      </w:r>
      <w:r w:rsidRPr="00404D29">
        <w:rPr>
          <w:lang w:val="en-US"/>
        </w:rPr>
        <w:t>BPMDS 2017, EMMSAD. vol 287, pp. 153-168. Springer, Cham (2017).</w:t>
      </w:r>
    </w:p>
    <w:p w14:paraId="05E7371B" w14:textId="77777777" w:rsidR="000E2552" w:rsidRPr="00404D29" w:rsidRDefault="000E2552" w:rsidP="000E2552">
      <w:pPr>
        <w:rPr>
          <w:lang w:val="en-US"/>
        </w:rPr>
      </w:pPr>
      <w:proofErr w:type="spellStart"/>
      <w:r w:rsidRPr="00404D29">
        <w:rPr>
          <w:lang w:val="en-US"/>
        </w:rPr>
        <w:t>Mendling</w:t>
      </w:r>
      <w:proofErr w:type="spellEnd"/>
      <w:r w:rsidRPr="00404D29">
        <w:rPr>
          <w:lang w:val="en-US"/>
        </w:rPr>
        <w:t xml:space="preserve">, J., Recker, J., </w:t>
      </w:r>
      <w:proofErr w:type="spellStart"/>
      <w:r w:rsidRPr="00404D29">
        <w:rPr>
          <w:lang w:val="en-US"/>
        </w:rPr>
        <w:t>Reijers</w:t>
      </w:r>
      <w:proofErr w:type="spellEnd"/>
      <w:r w:rsidRPr="00404D29">
        <w:rPr>
          <w:lang w:val="en-US"/>
        </w:rPr>
        <w:t>, H. A., &amp; Leopold, H. (2019). An empirical review of the connection between model viewer characteristics and the comprehension of conceptual process models. Information Systems Frontiers, 21(5), 1111-1135.</w:t>
      </w:r>
    </w:p>
    <w:p w14:paraId="1239B4D1" w14:textId="77777777" w:rsidR="000E2552" w:rsidRPr="00404D29" w:rsidRDefault="000E2552" w:rsidP="000E2552">
      <w:pPr>
        <w:rPr>
          <w:lang w:val="en-US"/>
        </w:rPr>
      </w:pPr>
      <w:proofErr w:type="spellStart"/>
      <w:r w:rsidRPr="00404D29">
        <w:rPr>
          <w:lang w:val="en-US"/>
        </w:rPr>
        <w:t>Tallon</w:t>
      </w:r>
      <w:proofErr w:type="spellEnd"/>
      <w:r w:rsidRPr="00404D29">
        <w:rPr>
          <w:lang w:val="en-US"/>
        </w:rPr>
        <w:t xml:space="preserve">, M., Winter, M., </w:t>
      </w:r>
      <w:proofErr w:type="spellStart"/>
      <w:r w:rsidRPr="00404D29">
        <w:rPr>
          <w:lang w:val="en-US"/>
        </w:rPr>
        <w:t>Pryss</w:t>
      </w:r>
      <w:proofErr w:type="spellEnd"/>
      <w:r w:rsidRPr="00404D29">
        <w:rPr>
          <w:lang w:val="en-US"/>
        </w:rPr>
        <w:t xml:space="preserve">, R., </w:t>
      </w:r>
      <w:proofErr w:type="spellStart"/>
      <w:r w:rsidRPr="00404D29">
        <w:rPr>
          <w:lang w:val="en-US"/>
        </w:rPr>
        <w:t>Rakoczy</w:t>
      </w:r>
      <w:proofErr w:type="spellEnd"/>
      <w:r w:rsidRPr="00404D29">
        <w:rPr>
          <w:lang w:val="en-US"/>
        </w:rPr>
        <w:t>, K., Reichert, M., Greenlee, M. W., &amp; Frick, U.: Comprehension of business process models: Insight into cognitive strategies via eye track-</w:t>
      </w:r>
      <w:proofErr w:type="spellStart"/>
      <w:r w:rsidRPr="00404D29">
        <w:rPr>
          <w:lang w:val="en-US"/>
        </w:rPr>
        <w:t>ing</w:t>
      </w:r>
      <w:proofErr w:type="spellEnd"/>
      <w:r w:rsidRPr="00404D29">
        <w:rPr>
          <w:lang w:val="en-US"/>
        </w:rPr>
        <w:t>. Expert Systems with Applications, 136, p. 145-158, (2019).</w:t>
      </w:r>
    </w:p>
    <w:p w14:paraId="4ADA7DA2" w14:textId="77777777" w:rsidR="000E2552" w:rsidRPr="00404D29" w:rsidRDefault="000E2552" w:rsidP="000E2552">
      <w:pPr>
        <w:rPr>
          <w:lang w:val="en-US"/>
        </w:rPr>
      </w:pPr>
      <w:proofErr w:type="spellStart"/>
      <w:r w:rsidRPr="00404D29">
        <w:rPr>
          <w:lang w:val="en-US"/>
        </w:rPr>
        <w:t>Burattin</w:t>
      </w:r>
      <w:proofErr w:type="spellEnd"/>
      <w:r w:rsidRPr="00404D29">
        <w:rPr>
          <w:lang w:val="en-US"/>
        </w:rPr>
        <w:t xml:space="preserve">, A.; Kaiser, M.; </w:t>
      </w:r>
      <w:proofErr w:type="spellStart"/>
      <w:r w:rsidRPr="00404D29">
        <w:rPr>
          <w:lang w:val="en-US"/>
        </w:rPr>
        <w:t>Neurauter</w:t>
      </w:r>
      <w:proofErr w:type="spellEnd"/>
      <w:r w:rsidRPr="00404D29">
        <w:rPr>
          <w:lang w:val="en-US"/>
        </w:rPr>
        <w:t>, M.; Weber, B.: Learning process modeling phases from modeling interactions and eye tracking data. In: Data &amp; Knowledge Engineering, (2019).</w:t>
      </w:r>
    </w:p>
    <w:p w14:paraId="3B12832C" w14:textId="77777777" w:rsidR="000E2552" w:rsidRPr="00404D29" w:rsidRDefault="000E2552" w:rsidP="000E2552">
      <w:pPr>
        <w:rPr>
          <w:lang w:val="en-US"/>
        </w:rPr>
      </w:pPr>
      <w:r w:rsidRPr="00404D29">
        <w:rPr>
          <w:lang w:val="en-US"/>
        </w:rPr>
        <w:t xml:space="preserve">    </w:t>
      </w:r>
      <w:proofErr w:type="spellStart"/>
      <w:r w:rsidRPr="00404D29">
        <w:rPr>
          <w:lang w:val="en-US"/>
        </w:rPr>
        <w:t>Bera</w:t>
      </w:r>
      <w:proofErr w:type="spellEnd"/>
      <w:r w:rsidRPr="00404D29">
        <w:rPr>
          <w:lang w:val="en-US"/>
        </w:rPr>
        <w:t xml:space="preserve">, P., </w:t>
      </w:r>
      <w:proofErr w:type="spellStart"/>
      <w:r w:rsidRPr="00404D29">
        <w:rPr>
          <w:lang w:val="en-US"/>
        </w:rPr>
        <w:t>Soffer</w:t>
      </w:r>
      <w:proofErr w:type="spellEnd"/>
      <w:r w:rsidRPr="00404D29">
        <w:rPr>
          <w:lang w:val="en-US"/>
        </w:rPr>
        <w:t>, P., &amp; Parsons, J. Using Eye Tracking to Expose Cognitive Processes in Understanding Conceptual Models. MIS Quarterly, 43(4), 1105-1126, (2019).</w:t>
      </w:r>
    </w:p>
    <w:p w14:paraId="503F0839" w14:textId="77777777" w:rsidR="000E2552" w:rsidRPr="00404D29" w:rsidRDefault="000E2552" w:rsidP="000E2552">
      <w:pPr>
        <w:rPr>
          <w:lang w:val="en-US"/>
        </w:rPr>
      </w:pPr>
      <w:r w:rsidRPr="00404D29">
        <w:rPr>
          <w:lang w:val="en-US"/>
        </w:rPr>
        <w:t xml:space="preserve">Chen, T.; Wang, W.; </w:t>
      </w:r>
      <w:proofErr w:type="spellStart"/>
      <w:r w:rsidRPr="00404D29">
        <w:rPr>
          <w:lang w:val="en-US"/>
        </w:rPr>
        <w:t>Indulska</w:t>
      </w:r>
      <w:proofErr w:type="spellEnd"/>
      <w:r w:rsidRPr="00404D29">
        <w:rPr>
          <w:lang w:val="en-US"/>
        </w:rPr>
        <w:t>, M.; Sadiq, S.: Business Process and Rule Integration Ap-</w:t>
      </w:r>
      <w:proofErr w:type="spellStart"/>
      <w:r w:rsidRPr="00404D29">
        <w:rPr>
          <w:lang w:val="en-US"/>
        </w:rPr>
        <w:t>proaches</w:t>
      </w:r>
      <w:proofErr w:type="spellEnd"/>
      <w:r w:rsidRPr="00404D29">
        <w:rPr>
          <w:lang w:val="en-US"/>
        </w:rPr>
        <w:t>- An Empirical Analysis. In: International Conference on Business Process Man-</w:t>
      </w:r>
      <w:proofErr w:type="spellStart"/>
      <w:r w:rsidRPr="00404D29">
        <w:rPr>
          <w:lang w:val="en-US"/>
        </w:rPr>
        <w:t>agement</w:t>
      </w:r>
      <w:proofErr w:type="spellEnd"/>
      <w:r w:rsidRPr="00404D29">
        <w:rPr>
          <w:lang w:val="en-US"/>
        </w:rPr>
        <w:t>. Springer, Cham, pp. 37-52 (2018).</w:t>
      </w:r>
    </w:p>
    <w:p w14:paraId="1D2B595C" w14:textId="77777777" w:rsidR="000E2552" w:rsidRPr="00404D29" w:rsidRDefault="000E2552" w:rsidP="000E2552">
      <w:pPr>
        <w:rPr>
          <w:lang w:val="en-US"/>
        </w:rPr>
      </w:pPr>
      <w:r w:rsidRPr="00404D29">
        <w:rPr>
          <w:lang w:val="en-US"/>
        </w:rPr>
        <w:t xml:space="preserve">   Vermeulen, S.: Real-Time Business Process Model Tailoring: The Effect of Domain Knowledge on Reading Strategy. In: </w:t>
      </w:r>
      <w:proofErr w:type="spellStart"/>
      <w:r w:rsidRPr="00404D29">
        <w:rPr>
          <w:lang w:val="en-US"/>
        </w:rPr>
        <w:t>Debruyne</w:t>
      </w:r>
      <w:proofErr w:type="spellEnd"/>
      <w:r w:rsidRPr="00404D29">
        <w:rPr>
          <w:lang w:val="en-US"/>
        </w:rPr>
        <w:t xml:space="preserve"> C. et al. (eds) On the Move to Meaningful Internet Systems. OTM 2017 Workshops, vol: 10697, pp. 280-286, Springer (2018).</w:t>
      </w:r>
    </w:p>
    <w:p w14:paraId="230FF26B" w14:textId="77777777" w:rsidR="000E2552" w:rsidRPr="00404D29" w:rsidRDefault="000E2552" w:rsidP="000E2552">
      <w:pPr>
        <w:rPr>
          <w:lang w:val="en-US"/>
        </w:rPr>
      </w:pPr>
      <w:r w:rsidRPr="00404D29">
        <w:rPr>
          <w:lang w:val="en-US"/>
        </w:rPr>
        <w:t>  </w:t>
      </w:r>
      <w:proofErr w:type="spellStart"/>
      <w:r w:rsidRPr="00404D29">
        <w:rPr>
          <w:lang w:val="en-US"/>
        </w:rPr>
        <w:t>Zimoch</w:t>
      </w:r>
      <w:proofErr w:type="spellEnd"/>
      <w:r w:rsidRPr="00404D29">
        <w:rPr>
          <w:lang w:val="en-US"/>
        </w:rPr>
        <w:t xml:space="preserve">, M.; </w:t>
      </w:r>
      <w:proofErr w:type="spellStart"/>
      <w:r w:rsidRPr="00404D29">
        <w:rPr>
          <w:lang w:val="en-US"/>
        </w:rPr>
        <w:t>Mohring</w:t>
      </w:r>
      <w:proofErr w:type="spellEnd"/>
      <w:r w:rsidRPr="00404D29">
        <w:rPr>
          <w:lang w:val="en-US"/>
        </w:rPr>
        <w:t xml:space="preserve">, T.; </w:t>
      </w:r>
      <w:proofErr w:type="spellStart"/>
      <w:r w:rsidRPr="00404D29">
        <w:rPr>
          <w:lang w:val="en-US"/>
        </w:rPr>
        <w:t>Pryss</w:t>
      </w:r>
      <w:proofErr w:type="spellEnd"/>
      <w:r w:rsidRPr="00404D29">
        <w:rPr>
          <w:lang w:val="en-US"/>
        </w:rPr>
        <w:t xml:space="preserve">, R.; Probst, T.; </w:t>
      </w:r>
      <w:proofErr w:type="spellStart"/>
      <w:r w:rsidRPr="00404D29">
        <w:rPr>
          <w:lang w:val="en-US"/>
        </w:rPr>
        <w:t>Schlee</w:t>
      </w:r>
      <w:proofErr w:type="spellEnd"/>
      <w:r w:rsidRPr="00404D29">
        <w:rPr>
          <w:lang w:val="en-US"/>
        </w:rPr>
        <w:t>, W.; Reichert, M.: Using Insights from Cognitive Neuroscience to Investigate the Effects of Event-Driven Process Chains on ­­Process Model Comprehension. In: Business Process Management Workshops. Vol: 308, pp. 446-459, Springer, Cham (2018).</w:t>
      </w:r>
    </w:p>
    <w:p w14:paraId="35D3BE1A" w14:textId="77777777" w:rsidR="000E2552" w:rsidRPr="00404D29" w:rsidRDefault="000E2552" w:rsidP="000E2552">
      <w:pPr>
        <w:rPr>
          <w:lang w:val="en-US"/>
        </w:rPr>
      </w:pPr>
      <w:r w:rsidRPr="00404D29">
        <w:rPr>
          <w:lang w:val="en-US"/>
        </w:rPr>
        <w:t xml:space="preserve">    </w:t>
      </w:r>
      <w:proofErr w:type="spellStart"/>
      <w:r w:rsidRPr="00404D29">
        <w:rPr>
          <w:lang w:val="en-US"/>
        </w:rPr>
        <w:t>Petrusel</w:t>
      </w:r>
      <w:proofErr w:type="spellEnd"/>
      <w:r w:rsidRPr="00404D29">
        <w:rPr>
          <w:lang w:val="en-US"/>
        </w:rPr>
        <w:t xml:space="preserve">, R.; </w:t>
      </w:r>
      <w:proofErr w:type="spellStart"/>
      <w:r w:rsidRPr="00404D29">
        <w:rPr>
          <w:lang w:val="en-US"/>
        </w:rPr>
        <w:t>Mendling</w:t>
      </w:r>
      <w:proofErr w:type="spellEnd"/>
      <w:r w:rsidRPr="00404D29">
        <w:rPr>
          <w:lang w:val="en-US"/>
        </w:rPr>
        <w:t xml:space="preserve">, J.; </w:t>
      </w:r>
      <w:proofErr w:type="spellStart"/>
      <w:r w:rsidRPr="00404D29">
        <w:rPr>
          <w:lang w:val="en-US"/>
        </w:rPr>
        <w:t>Reijers</w:t>
      </w:r>
      <w:proofErr w:type="spellEnd"/>
      <w:r w:rsidRPr="00404D29">
        <w:rPr>
          <w:lang w:val="en-US"/>
        </w:rPr>
        <w:t xml:space="preserve">, H. A.: How visual cognition influences process model comprehension. </w:t>
      </w:r>
      <w:proofErr w:type="spellStart"/>
      <w:r w:rsidRPr="00404D29">
        <w:rPr>
          <w:lang w:val="en-US"/>
        </w:rPr>
        <w:t>DecisionSupport</w:t>
      </w:r>
      <w:proofErr w:type="spellEnd"/>
      <w:r w:rsidRPr="00404D29">
        <w:rPr>
          <w:lang w:val="en-US"/>
        </w:rPr>
        <w:t xml:space="preserve"> Systems, vol 96, pp. 1-16. Elsevier (2017).</w:t>
      </w:r>
    </w:p>
    <w:p w14:paraId="1730AD03" w14:textId="77777777" w:rsidR="000E2552" w:rsidRPr="00404D29" w:rsidRDefault="000E2552" w:rsidP="000E2552">
      <w:pPr>
        <w:rPr>
          <w:lang w:val="en-US"/>
        </w:rPr>
      </w:pPr>
      <w:r w:rsidRPr="00404D29">
        <w:rPr>
          <w:lang w:val="en-US"/>
        </w:rPr>
        <w:t xml:space="preserve"> </w:t>
      </w:r>
      <w:proofErr w:type="spellStart"/>
      <w:r w:rsidRPr="00404D29">
        <w:rPr>
          <w:lang w:val="en-US"/>
        </w:rPr>
        <w:t>Petrusel</w:t>
      </w:r>
      <w:proofErr w:type="spellEnd"/>
      <w:r w:rsidRPr="00404D29">
        <w:rPr>
          <w:lang w:val="en-US"/>
        </w:rPr>
        <w:t xml:space="preserve">, R.; </w:t>
      </w:r>
      <w:proofErr w:type="spellStart"/>
      <w:r w:rsidRPr="00404D29">
        <w:rPr>
          <w:lang w:val="en-US"/>
        </w:rPr>
        <w:t>Mendling</w:t>
      </w:r>
      <w:proofErr w:type="spellEnd"/>
      <w:r w:rsidRPr="00404D29">
        <w:rPr>
          <w:lang w:val="en-US"/>
        </w:rPr>
        <w:t xml:space="preserve">, J.; </w:t>
      </w:r>
      <w:proofErr w:type="spellStart"/>
      <w:r w:rsidRPr="00404D29">
        <w:rPr>
          <w:lang w:val="en-US"/>
        </w:rPr>
        <w:t>Reijers</w:t>
      </w:r>
      <w:proofErr w:type="spellEnd"/>
      <w:r w:rsidRPr="00404D29">
        <w:rPr>
          <w:lang w:val="en-US"/>
        </w:rPr>
        <w:t xml:space="preserve">, H. A.: Task-specific visual cues for improving process model understanding. </w:t>
      </w:r>
      <w:proofErr w:type="spellStart"/>
      <w:r w:rsidRPr="00404D29">
        <w:rPr>
          <w:lang w:val="en-US"/>
        </w:rPr>
        <w:t>Informationand</w:t>
      </w:r>
      <w:proofErr w:type="spellEnd"/>
      <w:r w:rsidRPr="00404D29">
        <w:rPr>
          <w:lang w:val="en-US"/>
        </w:rPr>
        <w:t xml:space="preserve"> Software Technology, 79, pp. 63-78 (2016).</w:t>
      </w:r>
    </w:p>
    <w:p w14:paraId="4169FD18" w14:textId="77777777" w:rsidR="000E2552" w:rsidRPr="00404D29" w:rsidRDefault="000E2552" w:rsidP="000E2552">
      <w:pPr>
        <w:rPr>
          <w:lang w:val="en-US"/>
        </w:rPr>
      </w:pPr>
      <w:r w:rsidRPr="00404D29">
        <w:rPr>
          <w:lang w:val="en-US"/>
        </w:rPr>
        <w:lastRenderedPageBreak/>
        <w:t> </w:t>
      </w:r>
      <w:proofErr w:type="spellStart"/>
      <w:r w:rsidRPr="00404D29">
        <w:rPr>
          <w:lang w:val="en-US"/>
        </w:rPr>
        <w:t>Petrusel</w:t>
      </w:r>
      <w:proofErr w:type="spellEnd"/>
      <w:r w:rsidRPr="00404D29">
        <w:rPr>
          <w:lang w:val="en-US"/>
        </w:rPr>
        <w:t xml:space="preserve">, R.; </w:t>
      </w:r>
      <w:proofErr w:type="spellStart"/>
      <w:r w:rsidRPr="00404D29">
        <w:rPr>
          <w:lang w:val="en-US"/>
        </w:rPr>
        <w:t>Mendling</w:t>
      </w:r>
      <w:proofErr w:type="spellEnd"/>
      <w:r w:rsidRPr="00404D29">
        <w:rPr>
          <w:lang w:val="en-US"/>
        </w:rPr>
        <w:t>, J.: Eye-tracking the factors of process model comprehension tasks. In: International Conference on Advanced Information Systems Engineering, pp. 224-239. Springer, Berlin, Heidelberg (2013).</w:t>
      </w:r>
    </w:p>
    <w:p w14:paraId="084D2E1A" w14:textId="0147BBCA" w:rsidR="000E2552" w:rsidRPr="00404D29" w:rsidRDefault="000E2552" w:rsidP="000E2552">
      <w:pPr>
        <w:rPr>
          <w:lang w:val="en-US"/>
        </w:rPr>
      </w:pPr>
      <w:r w:rsidRPr="00404D29">
        <w:rPr>
          <w:lang w:val="en-US"/>
        </w:rPr>
        <w:t xml:space="preserve"> </w:t>
      </w:r>
      <w:proofErr w:type="spellStart"/>
      <w:r w:rsidRPr="00404D29">
        <w:rPr>
          <w:lang w:val="en-US"/>
        </w:rPr>
        <w:t>Pinggera</w:t>
      </w:r>
      <w:proofErr w:type="spellEnd"/>
      <w:r w:rsidRPr="00404D29">
        <w:rPr>
          <w:lang w:val="en-US"/>
        </w:rPr>
        <w:t xml:space="preserve">, J.; </w:t>
      </w:r>
      <w:proofErr w:type="spellStart"/>
      <w:r w:rsidRPr="00404D29">
        <w:rPr>
          <w:lang w:val="en-US"/>
        </w:rPr>
        <w:t>Furtner</w:t>
      </w:r>
      <w:proofErr w:type="spellEnd"/>
      <w:r w:rsidRPr="00404D29">
        <w:rPr>
          <w:lang w:val="en-US"/>
        </w:rPr>
        <w:t xml:space="preserve">, M.; Martini, M.; Sachse, P.; Reiter, K.; </w:t>
      </w:r>
      <w:proofErr w:type="spellStart"/>
      <w:r w:rsidRPr="00404D29">
        <w:rPr>
          <w:lang w:val="en-US"/>
        </w:rPr>
        <w:t>Zugal</w:t>
      </w:r>
      <w:proofErr w:type="spellEnd"/>
      <w:r w:rsidRPr="00404D29">
        <w:rPr>
          <w:lang w:val="en-US"/>
        </w:rPr>
        <w:t>, S.; Weber, B.: Investigating the process of process modeling with eye movement analysis. In: International Conference on Business Process Management. pp. 438-450. Springer, Berlin, (2012).</w:t>
      </w:r>
    </w:p>
    <w:p w14:paraId="37FBDF2B" w14:textId="2A77661A" w:rsidR="00021C8B" w:rsidRDefault="00021C8B" w:rsidP="000E2552">
      <w:r>
        <w:t>__________________________________________________________________</w:t>
      </w:r>
    </w:p>
    <w:p w14:paraId="4B9BD465" w14:textId="77777777" w:rsidR="00273544" w:rsidRPr="000A5258" w:rsidRDefault="00273544" w:rsidP="00273544">
      <w:bookmarkStart w:id="40" w:name="_Ref33044440"/>
      <w:r w:rsidRPr="000A5258">
        <w:t xml:space="preserve">Santos, M. C. D. F.: Avaliação da Eficácia Cognitiva de Modelos de Requisitos Orientados a Objetivos. </w:t>
      </w:r>
      <w:r w:rsidRPr="00EC0429">
        <w:t xml:space="preserve">Masters </w:t>
      </w:r>
      <w:proofErr w:type="spellStart"/>
      <w:r>
        <w:t>D</w:t>
      </w:r>
      <w:r w:rsidRPr="00EC0429">
        <w:t>issertation</w:t>
      </w:r>
      <w:proofErr w:type="spellEnd"/>
      <w:r w:rsidRPr="000A5258">
        <w:t>, Faculdade de Ciência e Tecnologia Universidade nova de Lisboa, (2016).</w:t>
      </w:r>
      <w:bookmarkEnd w:id="40"/>
    </w:p>
    <w:p w14:paraId="4A049C39" w14:textId="3B564AE4" w:rsidR="00273544" w:rsidRPr="00404D29" w:rsidRDefault="00273544" w:rsidP="00273544">
      <w:pPr>
        <w:rPr>
          <w:lang w:val="en-US"/>
        </w:rPr>
      </w:pPr>
      <w:bookmarkStart w:id="41" w:name="_Ref33044397"/>
      <w:proofErr w:type="spellStart"/>
      <w:r w:rsidRPr="00404D29">
        <w:rPr>
          <w:lang w:val="en-US"/>
        </w:rPr>
        <w:t>Sharafi</w:t>
      </w:r>
      <w:proofErr w:type="spellEnd"/>
      <w:r w:rsidRPr="00404D29">
        <w:rPr>
          <w:lang w:val="en-US"/>
        </w:rPr>
        <w:t xml:space="preserve">, Z.; Soh Z.; </w:t>
      </w:r>
      <w:proofErr w:type="spellStart"/>
      <w:r w:rsidRPr="00404D29">
        <w:rPr>
          <w:lang w:val="en-US"/>
        </w:rPr>
        <w:t>Guéhéneuc</w:t>
      </w:r>
      <w:proofErr w:type="spellEnd"/>
      <w:r w:rsidRPr="00404D29">
        <w:rPr>
          <w:lang w:val="en-US"/>
        </w:rPr>
        <w:t>, Y. G.: A systematic literature review on the usage of eye-tracking in software engineering. In: Information and Software Technology 67, pp. 79–107 (2015).</w:t>
      </w:r>
      <w:bookmarkEnd w:id="41"/>
    </w:p>
    <w:p w14:paraId="74524107" w14:textId="6B9B235C" w:rsidR="00021C8B" w:rsidRDefault="00123C65" w:rsidP="00123C65">
      <w:pPr>
        <w:pStyle w:val="referenceitem"/>
        <w:numPr>
          <w:ilvl w:val="0"/>
          <w:numId w:val="0"/>
        </w:numPr>
        <w:rPr>
          <w:lang w:val="en-US"/>
        </w:rPr>
      </w:pPr>
      <w:bookmarkStart w:id="42" w:name="_Ref8465748"/>
      <w:r>
        <w:rPr>
          <w:lang w:val="en-US"/>
        </w:rPr>
        <w:tab/>
      </w:r>
      <w:r w:rsidR="00021C8B" w:rsidRPr="00F95748">
        <w:rPr>
          <w:lang w:val="en-US"/>
        </w:rPr>
        <w:t>OMG BPMN2</w:t>
      </w:r>
      <w:r w:rsidR="00021C8B">
        <w:rPr>
          <w:lang w:val="en-US"/>
        </w:rPr>
        <w:t>,</w:t>
      </w:r>
      <w:r w:rsidR="00021C8B" w:rsidRPr="00F95748">
        <w:rPr>
          <w:lang w:val="en-US"/>
        </w:rPr>
        <w:t xml:space="preserve"> Business Process Model and Notation (BPMN) v2.0, Object Management Group</w:t>
      </w:r>
      <w:r w:rsidR="00021C8B">
        <w:rPr>
          <w:lang w:val="en-US"/>
        </w:rPr>
        <w:t xml:space="preserve"> (</w:t>
      </w:r>
      <w:r w:rsidR="00021C8B" w:rsidRPr="00F95748">
        <w:rPr>
          <w:lang w:val="en-US"/>
        </w:rPr>
        <w:t>2011</w:t>
      </w:r>
      <w:r w:rsidR="00021C8B">
        <w:rPr>
          <w:lang w:val="en-US"/>
        </w:rPr>
        <w:t>)</w:t>
      </w:r>
      <w:r w:rsidR="00021C8B" w:rsidRPr="00F95748">
        <w:rPr>
          <w:lang w:val="en-US"/>
        </w:rPr>
        <w:t>.</w:t>
      </w:r>
      <w:bookmarkEnd w:id="42"/>
    </w:p>
    <w:p w14:paraId="0EEA6EFE" w14:textId="39A871F0" w:rsidR="00021C8B" w:rsidRDefault="00123C65" w:rsidP="00123C65">
      <w:pPr>
        <w:pStyle w:val="referenceitem"/>
        <w:numPr>
          <w:ilvl w:val="0"/>
          <w:numId w:val="0"/>
        </w:numPr>
        <w:rPr>
          <w:lang w:val="en-US"/>
        </w:rPr>
      </w:pPr>
      <w:bookmarkStart w:id="43" w:name="_Ref33044377"/>
      <w:r>
        <w:rPr>
          <w:lang w:val="en-US"/>
        </w:rPr>
        <w:tab/>
      </w:r>
      <w:r w:rsidR="00021C8B" w:rsidRPr="009B7C48">
        <w:rPr>
          <w:lang w:val="en-US"/>
        </w:rPr>
        <w:t xml:space="preserve">Scheer, A. W.; </w:t>
      </w:r>
      <w:proofErr w:type="spellStart"/>
      <w:r w:rsidR="00021C8B" w:rsidRPr="009B7C48">
        <w:rPr>
          <w:lang w:val="en-US"/>
        </w:rPr>
        <w:t>Nüttgens</w:t>
      </w:r>
      <w:proofErr w:type="spellEnd"/>
      <w:r w:rsidR="00021C8B" w:rsidRPr="009B7C48">
        <w:rPr>
          <w:lang w:val="en-US"/>
        </w:rPr>
        <w:t>, M.</w:t>
      </w:r>
      <w:r w:rsidR="00021C8B">
        <w:rPr>
          <w:lang w:val="en-US"/>
        </w:rPr>
        <w:t>:</w:t>
      </w:r>
      <w:r w:rsidR="00021C8B" w:rsidRPr="009B7C48">
        <w:rPr>
          <w:lang w:val="en-US"/>
        </w:rPr>
        <w:t xml:space="preserve"> ARIS Architecture and Reference Models for Business Process Management, In: Proceedings of the Business Process Management, Models, Techniques, and Empirical Studies, Springer-Verlag, p</w:t>
      </w:r>
      <w:r w:rsidR="00021C8B">
        <w:rPr>
          <w:lang w:val="en-US"/>
        </w:rPr>
        <w:t>p</w:t>
      </w:r>
      <w:r w:rsidR="00021C8B" w:rsidRPr="009B7C48">
        <w:rPr>
          <w:lang w:val="en-US"/>
        </w:rPr>
        <w:t xml:space="preserve"> 376–389</w:t>
      </w:r>
      <w:r w:rsidR="00021C8B">
        <w:rPr>
          <w:lang w:val="en-US"/>
        </w:rPr>
        <w:t xml:space="preserve"> (</w:t>
      </w:r>
      <w:r w:rsidR="00021C8B" w:rsidRPr="009B7C48">
        <w:rPr>
          <w:lang w:val="en-US"/>
        </w:rPr>
        <w:t>2000</w:t>
      </w:r>
      <w:r w:rsidR="00021C8B">
        <w:rPr>
          <w:lang w:val="en-US"/>
        </w:rPr>
        <w:t>)</w:t>
      </w:r>
      <w:r w:rsidR="00021C8B" w:rsidRPr="009B7C48">
        <w:rPr>
          <w:lang w:val="en-US"/>
        </w:rPr>
        <w:t>.</w:t>
      </w:r>
      <w:bookmarkEnd w:id="43"/>
    </w:p>
    <w:p w14:paraId="2F7B0931" w14:textId="0E27E539" w:rsidR="00123C65" w:rsidRPr="00404D29" w:rsidRDefault="00123C65" w:rsidP="00123C65">
      <w:pPr>
        <w:pStyle w:val="referenceitem"/>
        <w:numPr>
          <w:ilvl w:val="0"/>
          <w:numId w:val="0"/>
        </w:numPr>
        <w:rPr>
          <w:lang w:val="en-US"/>
        </w:rPr>
      </w:pPr>
      <w:bookmarkStart w:id="44" w:name="_Ref33043857"/>
      <w:r>
        <w:rPr>
          <w:lang w:val="en-US"/>
        </w:rPr>
        <w:tab/>
      </w: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404D29">
        <w:rPr>
          <w:lang w:val="en-US"/>
        </w:rPr>
        <w:t>Informationand</w:t>
      </w:r>
      <w:proofErr w:type="spellEnd"/>
      <w:r w:rsidRPr="00404D29">
        <w:rPr>
          <w:lang w:val="en-US"/>
        </w:rPr>
        <w:t xml:space="preserve"> Software Technology, vol. 93, pp. 112-129 (2018).</w:t>
      </w:r>
      <w:bookmarkEnd w:id="44"/>
    </w:p>
    <w:p w14:paraId="1E1C5992" w14:textId="2B9177CD" w:rsidR="00123C65" w:rsidRPr="00F22E72" w:rsidRDefault="00123C65" w:rsidP="00123C65">
      <w:pPr>
        <w:pStyle w:val="referenceitem"/>
        <w:numPr>
          <w:ilvl w:val="0"/>
          <w:numId w:val="0"/>
        </w:numPr>
        <w:rPr>
          <w:lang w:val="en-US"/>
        </w:rPr>
      </w:pPr>
      <w:bookmarkStart w:id="45" w:name="_Ref33043846"/>
      <w:r>
        <w:rPr>
          <w:lang w:val="en-US"/>
        </w:rPr>
        <w:tab/>
      </w:r>
      <w:r w:rsidRPr="00F22E72">
        <w:rPr>
          <w:lang w:val="en-US"/>
        </w:rPr>
        <w:t>FIGL, K.: Comprehension of procedural visual business process models. In: Business &amp;Information Systems Engineering, vol. 59, n. 1, pp. 41-67 (2017).</w:t>
      </w:r>
      <w:bookmarkEnd w:id="45"/>
    </w:p>
    <w:p w14:paraId="25B86EAF" w14:textId="77777777" w:rsidR="00123C65" w:rsidRPr="009B7C48" w:rsidRDefault="00123C65" w:rsidP="00021C8B">
      <w:pPr>
        <w:pStyle w:val="referenceitem"/>
        <w:numPr>
          <w:ilvl w:val="0"/>
          <w:numId w:val="0"/>
        </w:numPr>
        <w:ind w:left="227"/>
        <w:rPr>
          <w:lang w:val="en-US"/>
        </w:rPr>
      </w:pPr>
    </w:p>
    <w:p w14:paraId="7A48B6A7" w14:textId="77777777" w:rsidR="00021C8B" w:rsidRPr="00F95748" w:rsidRDefault="00021C8B" w:rsidP="00021C8B">
      <w:pPr>
        <w:pStyle w:val="referenceitem"/>
        <w:numPr>
          <w:ilvl w:val="0"/>
          <w:numId w:val="0"/>
        </w:numPr>
        <w:ind w:left="227"/>
        <w:rPr>
          <w:lang w:val="en-US"/>
        </w:rPr>
      </w:pPr>
    </w:p>
    <w:p w14:paraId="7883D368" w14:textId="77777777" w:rsidR="00021C8B" w:rsidRPr="00273544" w:rsidRDefault="00021C8B" w:rsidP="00273544"/>
    <w:p w14:paraId="34696D88" w14:textId="77777777" w:rsidR="00273544" w:rsidRPr="00B37B00" w:rsidRDefault="00273544" w:rsidP="000E2552"/>
    <w:sectPr w:rsidR="00273544" w:rsidRPr="00B37B00"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Denis Silveira" w:date="2020-04-20T11:27:00Z" w:initials="DS">
    <w:p w14:paraId="67A2B4F3" w14:textId="2B90FBD0" w:rsidR="00404D29" w:rsidRDefault="00404D29">
      <w:pPr>
        <w:pStyle w:val="Textodecomentrio"/>
      </w:pPr>
      <w:r>
        <w:rPr>
          <w:rStyle w:val="Refdecomentrio"/>
        </w:rPr>
        <w:annotationRef/>
      </w:r>
      <w:r>
        <w:t>Não entendi! Pode me explicar melhor?</w:t>
      </w:r>
    </w:p>
  </w:comment>
  <w:comment w:id="21" w:author="rafael duarte" w:date="2020-04-20T16:22:00Z" w:initials="rd">
    <w:p w14:paraId="083FC2BC" w14:textId="3AFF5F53" w:rsidR="007324AF" w:rsidRDefault="007324AF">
      <w:pPr>
        <w:pStyle w:val="Textodecomentrio"/>
      </w:pPr>
      <w:r>
        <w:rPr>
          <w:rStyle w:val="Refdecomentrio"/>
        </w:rPr>
        <w:annotationRef/>
      </w:r>
      <w:r>
        <w:t xml:space="preserve">Esse gráfico é para responder a pergunta de quando são os trabalhos, tendo o ano de 2013 os 2 primeiros trabalhos encontrados e uma maios </w:t>
      </w:r>
      <w:r>
        <w:t>concetração de trabalhos publicados nos últimos 2 anos.</w:t>
      </w:r>
    </w:p>
  </w:comment>
  <w:comment w:id="24" w:author="Denis Silveira" w:date="2020-04-20T11:27:00Z" w:initials="DS">
    <w:p w14:paraId="741936A6" w14:textId="1E3E3313" w:rsidR="00404D29" w:rsidRDefault="00404D29">
      <w:pPr>
        <w:pStyle w:val="Textodecomentrio"/>
      </w:pPr>
      <w:r>
        <w:rPr>
          <w:rStyle w:val="Refdecomentrio"/>
        </w:rPr>
        <w:annotationRef/>
      </w:r>
      <w:r>
        <w:t>Que porra é essa?</w:t>
      </w:r>
    </w:p>
  </w:comment>
  <w:comment w:id="25" w:author="Denis Silveira" w:date="2020-04-20T11:28:00Z" w:initials="DS">
    <w:p w14:paraId="533A1B3F" w14:textId="5BBE2D57" w:rsidR="00404D29" w:rsidRDefault="00404D29">
      <w:pPr>
        <w:pStyle w:val="Textodecomentrio"/>
      </w:pPr>
      <w:r>
        <w:rPr>
          <w:rStyle w:val="Refdecomentrio"/>
        </w:rPr>
        <w:annotationRef/>
      </w:r>
      <w:r>
        <w:t>Idem?</w:t>
      </w:r>
    </w:p>
  </w:comment>
  <w:comment w:id="30" w:author="Denis Silveira" w:date="2020-04-20T11:30:00Z" w:initials="DS">
    <w:p w14:paraId="7F0A7356" w14:textId="57B76D7A" w:rsidR="00404D29" w:rsidRDefault="00404D29">
      <w:pPr>
        <w:pStyle w:val="Textodecomentrio"/>
      </w:pPr>
      <w:r>
        <w:rPr>
          <w:rStyle w:val="Refdecomentrio"/>
        </w:rPr>
        <w:annotationRef/>
      </w:r>
      <w:r>
        <w:t xml:space="preserve">Pode ser melhor escrito! Talvez a sua irmã de um jeito nisso!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4" w:author="Denis Silveira" w:date="2020-04-20T11:35:00Z" w:initials="DS">
    <w:p w14:paraId="3A42812E" w14:textId="4A12D1FB" w:rsidR="00404D29" w:rsidRDefault="00404D29">
      <w:pPr>
        <w:pStyle w:val="Textodecomentrio"/>
      </w:pPr>
      <w:r>
        <w:rPr>
          <w:rStyle w:val="Refdecomentrio"/>
        </w:rPr>
        <w:annotationRef/>
      </w:r>
      <w:r>
        <w:t>????</w:t>
      </w:r>
    </w:p>
  </w:comment>
  <w:comment w:id="35" w:author="Denis Silveira" w:date="2020-04-20T11:36:00Z" w:initials="DS">
    <w:p w14:paraId="4F0E5795" w14:textId="1D2DFDFC" w:rsidR="00404D29" w:rsidRDefault="00404D29">
      <w:pPr>
        <w:pStyle w:val="Textodecomentrio"/>
      </w:pPr>
      <w:r>
        <w:rPr>
          <w:rStyle w:val="Refdecomentrio"/>
        </w:rPr>
        <w:annotationRef/>
      </w:r>
      <w:r>
        <w:t>????</w:t>
      </w:r>
    </w:p>
  </w:comment>
  <w:comment w:id="36" w:author="Denis Silveira" w:date="2020-04-20T11:36:00Z" w:initials="DS">
    <w:p w14:paraId="08756366" w14:textId="68980559" w:rsidR="00404D29" w:rsidRDefault="00404D29">
      <w:pPr>
        <w:pStyle w:val="Textodecomentrio"/>
      </w:pPr>
      <w:r>
        <w:rPr>
          <w:rStyle w:val="Refdecomentrio"/>
        </w:rPr>
        <w:annotationRef/>
      </w:r>
      <w:r>
        <w:t>????</w:t>
      </w:r>
    </w:p>
  </w:comment>
  <w:comment w:id="37" w:author="Denis Silveira" w:date="2020-04-20T11:36:00Z" w:initials="DS">
    <w:p w14:paraId="2B120FDC" w14:textId="7727BBCF" w:rsidR="00404D29" w:rsidRDefault="00404D29">
      <w:pPr>
        <w:pStyle w:val="Textodecomentrio"/>
      </w:pPr>
      <w:r>
        <w:rPr>
          <w:rStyle w:val="Refdecomentrio"/>
        </w:rPr>
        <w:annotationRef/>
      </w:r>
      <w:r>
        <w:t>???</w:t>
      </w:r>
    </w:p>
  </w:comment>
  <w:comment w:id="38" w:author="Denis Silveira" w:date="2020-04-20T11:36:00Z" w:initials="DS">
    <w:p w14:paraId="4A5CFE4B" w14:textId="132E6471" w:rsidR="00404D29" w:rsidRDefault="00404D29">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A2B4F3" w15:done="0"/>
  <w15:commentEx w15:paraId="083FC2BC" w15:paraIdParent="67A2B4F3" w15:done="0"/>
  <w15:commentEx w15:paraId="741936A6" w15:done="0"/>
  <w15:commentEx w15:paraId="533A1B3F" w15:done="0"/>
  <w15:commentEx w15:paraId="7F0A7356" w15:done="0"/>
  <w15:commentEx w15:paraId="3A42812E" w15:done="0"/>
  <w15:commentEx w15:paraId="4F0E5795" w15:done="0"/>
  <w15:commentEx w15:paraId="08756366" w15:done="0"/>
  <w15:commentEx w15:paraId="2B120FDC" w15:done="0"/>
  <w15:commentEx w15:paraId="4A5CF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4AA9" w16cex:dateUtc="2020-04-20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A2B4F3" w16cid:durableId="22480590"/>
  <w16cid:commentId w16cid:paraId="083FC2BC" w16cid:durableId="22484AA9"/>
  <w16cid:commentId w16cid:paraId="741936A6" w16cid:durableId="224805B5"/>
  <w16cid:commentId w16cid:paraId="533A1B3F" w16cid:durableId="224805C2"/>
  <w16cid:commentId w16cid:paraId="7F0A7356" w16cid:durableId="2248065E"/>
  <w16cid:commentId w16cid:paraId="3A42812E" w16cid:durableId="22480791"/>
  <w16cid:commentId w16cid:paraId="4F0E5795" w16cid:durableId="224807A4"/>
  <w16cid:commentId w16cid:paraId="08756366" w16cid:durableId="224807AE"/>
  <w16cid:commentId w16cid:paraId="2B120FDC" w16cid:durableId="224807BA"/>
  <w16cid:commentId w16cid:paraId="4A5CFE4B" w16cid:durableId="224807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D5EFC" w14:textId="77777777" w:rsidR="003B435D" w:rsidRDefault="003B435D">
      <w:r>
        <w:separator/>
      </w:r>
    </w:p>
  </w:endnote>
  <w:endnote w:type="continuationSeparator" w:id="0">
    <w:p w14:paraId="0181B04D" w14:textId="77777777" w:rsidR="003B435D" w:rsidRDefault="003B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BEE84" w14:textId="77777777" w:rsidR="003B435D" w:rsidRDefault="003B435D" w:rsidP="009F7FCE">
      <w:pPr>
        <w:ind w:firstLine="0"/>
      </w:pPr>
      <w:r>
        <w:separator/>
      </w:r>
    </w:p>
  </w:footnote>
  <w:footnote w:type="continuationSeparator" w:id="0">
    <w:p w14:paraId="51779477" w14:textId="77777777" w:rsidR="003B435D" w:rsidRDefault="003B435D" w:rsidP="009F7FCE">
      <w:pPr>
        <w:ind w:firstLine="0"/>
      </w:pPr>
      <w:r>
        <w:continuationSeparator/>
      </w:r>
    </w:p>
  </w:footnote>
  <w:footnote w:id="1">
    <w:p w14:paraId="1E68CED6" w14:textId="77777777" w:rsidR="00404D29" w:rsidRDefault="00404D29"/>
  </w:footnote>
  <w:footnote w:id="2">
    <w:p w14:paraId="3E8DC302" w14:textId="77777777" w:rsidR="00404D29" w:rsidRDefault="00404D29"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404D29" w:rsidRDefault="00404D29"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404D29" w:rsidRDefault="00404D29">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404D29" w:rsidRDefault="00404D29"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404D29" w:rsidRDefault="00404D29"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9"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1"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2"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17"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
  </w:num>
  <w:num w:numId="3">
    <w:abstractNumId w:val="13"/>
  </w:num>
  <w:num w:numId="4">
    <w:abstractNumId w:val="13"/>
  </w:num>
  <w:num w:numId="5">
    <w:abstractNumId w:val="15"/>
  </w:num>
  <w:num w:numId="6">
    <w:abstractNumId w:val="15"/>
  </w:num>
  <w:num w:numId="7">
    <w:abstractNumId w:val="14"/>
    <w:lvlOverride w:ilvl="1">
      <w:lvl w:ilvl="1">
        <w:start w:val="1"/>
        <w:numFmt w:val="decimal"/>
        <w:pStyle w:val="heading2"/>
        <w:lvlText w:val="%1.%2"/>
        <w:lvlJc w:val="left"/>
        <w:pPr>
          <w:tabs>
            <w:tab w:val="num" w:pos="4962"/>
          </w:tabs>
          <w:ind w:left="4962" w:hanging="567"/>
        </w:pPr>
        <w:rPr>
          <w:rFonts w:hint="default"/>
        </w:rPr>
      </w:lvl>
    </w:lvlOverride>
  </w:num>
  <w:num w:numId="8">
    <w:abstractNumId w:val="16"/>
  </w:num>
  <w:num w:numId="9">
    <w:abstractNumId w:val="16"/>
  </w:num>
  <w:num w:numId="10">
    <w:abstractNumId w:val="7"/>
  </w:num>
  <w:num w:numId="11">
    <w:abstractNumId w:val="10"/>
  </w:num>
  <w:num w:numId="12">
    <w:abstractNumId w:val="9"/>
  </w:num>
  <w:num w:numId="13">
    <w:abstractNumId w:val="5"/>
  </w:num>
  <w:num w:numId="14">
    <w:abstractNumId w:val="11"/>
  </w:num>
  <w:num w:numId="15">
    <w:abstractNumId w:val="12"/>
  </w:num>
  <w:num w:numId="16">
    <w:abstractNumId w:val="1"/>
  </w:num>
  <w:num w:numId="17">
    <w:abstractNumId w:val="4"/>
  </w:num>
  <w:num w:numId="18">
    <w:abstractNumId w:val="6"/>
  </w:num>
  <w:num w:numId="19">
    <w:abstractNumId w:val="8"/>
  </w:num>
  <w:num w:numId="20">
    <w:abstractNumId w:val="2"/>
  </w:num>
  <w:num w:numId="21">
    <w:abstractNumId w:val="14"/>
  </w:num>
  <w:num w:numId="22">
    <w:abstractNumId w:val="14"/>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4"/>
    <w:lvlOverride w:ilvl="1">
      <w:lvl w:ilvl="1">
        <w:start w:val="1"/>
        <w:numFmt w:val="decimal"/>
        <w:pStyle w:val="heading2"/>
        <w:lvlText w:val="%1.%2"/>
        <w:lvlJc w:val="left"/>
        <w:pPr>
          <w:tabs>
            <w:tab w:val="num" w:pos="4962"/>
          </w:tabs>
          <w:ind w:left="4962" w:hanging="567"/>
        </w:pPr>
        <w:rPr>
          <w:rFonts w:hint="default"/>
        </w:rPr>
      </w:lvl>
    </w:lvlOverride>
  </w:num>
  <w:num w:numId="24">
    <w:abstractNumId w:val="14"/>
    <w:lvlOverride w:ilvl="1">
      <w:lvl w:ilvl="1">
        <w:start w:val="1"/>
        <w:numFmt w:val="decimal"/>
        <w:pStyle w:val="heading2"/>
        <w:lvlText w:val="%1.%2"/>
        <w:lvlJc w:val="left"/>
        <w:pPr>
          <w:tabs>
            <w:tab w:val="num" w:pos="4962"/>
          </w:tabs>
          <w:ind w:left="4962" w:hanging="567"/>
        </w:pPr>
        <w:rPr>
          <w:rFonts w:hint="default"/>
        </w:rPr>
      </w:lvl>
    </w:lvlOverride>
  </w:num>
  <w:num w:numId="25">
    <w:abstractNumId w:val="14"/>
    <w:lvlOverride w:ilvl="1">
      <w:lvl w:ilvl="1">
        <w:start w:val="1"/>
        <w:numFmt w:val="decimal"/>
        <w:pStyle w:val="heading2"/>
        <w:lvlText w:val="%1.%2"/>
        <w:lvlJc w:val="left"/>
        <w:pPr>
          <w:tabs>
            <w:tab w:val="num" w:pos="4962"/>
          </w:tabs>
          <w:ind w:left="4962" w:hanging="567"/>
        </w:pPr>
        <w:rPr>
          <w:rFonts w:hint="default"/>
        </w:rPr>
      </w:lvl>
    </w:lvlOverride>
  </w:num>
  <w:num w:numId="26">
    <w:abstractNumId w:val="14"/>
    <w:lvlOverride w:ilvl="1">
      <w:lvl w:ilvl="1">
        <w:start w:val="1"/>
        <w:numFmt w:val="decimal"/>
        <w:pStyle w:val="heading2"/>
        <w:lvlText w:val="%1.%2"/>
        <w:lvlJc w:val="left"/>
        <w:pPr>
          <w:tabs>
            <w:tab w:val="num" w:pos="4962"/>
          </w:tabs>
          <w:ind w:left="4962" w:hanging="567"/>
        </w:pPr>
        <w:rPr>
          <w:rFonts w:hint="default"/>
        </w:rPr>
      </w:lvl>
    </w:lvlOverride>
  </w:num>
  <w:num w:numId="27">
    <w:abstractNumId w:val="14"/>
    <w:lvlOverride w:ilvl="1">
      <w:lvl w:ilvl="1">
        <w:start w:val="1"/>
        <w:numFmt w:val="decimal"/>
        <w:pStyle w:val="heading2"/>
        <w:lvlText w:val="%1.%2"/>
        <w:lvlJc w:val="left"/>
        <w:pPr>
          <w:tabs>
            <w:tab w:val="num" w:pos="4962"/>
          </w:tabs>
          <w:ind w:left="4962" w:hanging="567"/>
        </w:pPr>
        <w:rPr>
          <w:rFonts w:hint="default"/>
        </w:rPr>
      </w:lvl>
    </w:lvlOverride>
  </w:num>
  <w:num w:numId="28">
    <w:abstractNumId w:val="14"/>
    <w:lvlOverride w:ilvl="1">
      <w:lvl w:ilvl="1">
        <w:start w:val="1"/>
        <w:numFmt w:val="decimal"/>
        <w:pStyle w:val="heading2"/>
        <w:lvlText w:val="%1.%2"/>
        <w:lvlJc w:val="left"/>
        <w:pPr>
          <w:tabs>
            <w:tab w:val="num" w:pos="4962"/>
          </w:tabs>
          <w:ind w:left="4962" w:hanging="567"/>
        </w:pPr>
        <w:rPr>
          <w:rFonts w:hint="default"/>
        </w:rPr>
      </w:lvl>
    </w:lvlOverride>
  </w:num>
  <w:num w:numId="29">
    <w:abstractNumId w:val="14"/>
    <w:lvlOverride w:ilvl="1">
      <w:lvl w:ilvl="1">
        <w:start w:val="1"/>
        <w:numFmt w:val="decimal"/>
        <w:pStyle w:val="heading2"/>
        <w:lvlText w:val="%1.%2"/>
        <w:lvlJc w:val="left"/>
        <w:pPr>
          <w:tabs>
            <w:tab w:val="num" w:pos="4962"/>
          </w:tabs>
          <w:ind w:left="4962" w:hanging="567"/>
        </w:pPr>
        <w:rPr>
          <w:rFonts w:hint="default"/>
        </w:rPr>
      </w:lvl>
    </w:lvlOverride>
  </w:num>
  <w:num w:numId="30">
    <w:abstractNumId w:val="14"/>
    <w:lvlOverride w:ilvl="1">
      <w:lvl w:ilvl="1">
        <w:start w:val="1"/>
        <w:numFmt w:val="decimal"/>
        <w:pStyle w:val="heading2"/>
        <w:lvlText w:val="%1.%2"/>
        <w:lvlJc w:val="left"/>
        <w:pPr>
          <w:tabs>
            <w:tab w:val="num" w:pos="4962"/>
          </w:tabs>
          <w:ind w:left="4962" w:hanging="567"/>
        </w:pPr>
        <w:rPr>
          <w:rFonts w:hint="default"/>
        </w:rPr>
      </w:lvl>
    </w:lvlOverride>
  </w:num>
  <w:num w:numId="31">
    <w:abstractNumId w:val="14"/>
    <w:lvlOverride w:ilvl="1">
      <w:lvl w:ilvl="1">
        <w:start w:val="1"/>
        <w:numFmt w:val="decimal"/>
        <w:pStyle w:val="heading2"/>
        <w:lvlText w:val="%1.%2"/>
        <w:lvlJc w:val="left"/>
        <w:pPr>
          <w:tabs>
            <w:tab w:val="num" w:pos="4962"/>
          </w:tabs>
          <w:ind w:left="4962" w:hanging="567"/>
        </w:pPr>
        <w:rPr>
          <w:rFonts w:hint="default"/>
        </w:rPr>
      </w:lvl>
    </w:lvlOverride>
  </w:num>
  <w:num w:numId="32">
    <w:abstractNumId w:val="16"/>
  </w:num>
  <w:num w:numId="33">
    <w:abstractNumId w:val="14"/>
    <w:lvlOverride w:ilvl="1">
      <w:lvl w:ilvl="1">
        <w:start w:val="1"/>
        <w:numFmt w:val="decimal"/>
        <w:pStyle w:val="heading2"/>
        <w:lvlText w:val="%1.%2"/>
        <w:lvlJc w:val="left"/>
        <w:pPr>
          <w:tabs>
            <w:tab w:val="num" w:pos="4962"/>
          </w:tabs>
          <w:ind w:left="4962" w:hanging="567"/>
        </w:pPr>
        <w:rPr>
          <w:rFonts w:hint="default"/>
        </w:rPr>
      </w:lvl>
    </w:lvlOverride>
  </w:num>
  <w:num w:numId="34">
    <w:abstractNumId w:val="14"/>
    <w:lvlOverride w:ilvl="1">
      <w:lvl w:ilvl="1">
        <w:start w:val="1"/>
        <w:numFmt w:val="decimal"/>
        <w:pStyle w:val="heading2"/>
        <w:lvlText w:val="%1.%2"/>
        <w:lvlJc w:val="left"/>
        <w:pPr>
          <w:tabs>
            <w:tab w:val="num" w:pos="4962"/>
          </w:tabs>
          <w:ind w:left="4962" w:hanging="567"/>
        </w:pPr>
        <w:rPr>
          <w:rFonts w:hint="default"/>
        </w:rPr>
      </w:lvl>
    </w:lvlOverride>
  </w:num>
  <w:num w:numId="35">
    <w:abstractNumId w:val="14"/>
    <w:lvlOverride w:ilvl="1">
      <w:lvl w:ilvl="1">
        <w:start w:val="1"/>
        <w:numFmt w:val="decimal"/>
        <w:pStyle w:val="heading2"/>
        <w:lvlText w:val="%1.%2"/>
        <w:lvlJc w:val="left"/>
        <w:pPr>
          <w:tabs>
            <w:tab w:val="num" w:pos="4962"/>
          </w:tabs>
          <w:ind w:left="4962" w:hanging="567"/>
        </w:pPr>
        <w:rPr>
          <w:rFonts w:hint="default"/>
        </w:rPr>
      </w:lvl>
    </w:lvlOverride>
  </w:num>
  <w:num w:numId="36">
    <w:abstractNumId w:val="14"/>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17"/>
  </w:num>
  <w:num w:numId="39">
    <w:abstractNumId w:val="14"/>
    <w:lvlOverride w:ilvl="1">
      <w:lvl w:ilvl="1">
        <w:start w:val="1"/>
        <w:numFmt w:val="decimal"/>
        <w:pStyle w:val="heading2"/>
        <w:lvlText w:val="%1.%2"/>
        <w:lvlJc w:val="left"/>
        <w:pPr>
          <w:tabs>
            <w:tab w:val="num" w:pos="4962"/>
          </w:tabs>
          <w:ind w:left="4962" w:hanging="567"/>
        </w:pPr>
        <w:rPr>
          <w:rFonts w:hint="default"/>
        </w:rPr>
      </w:lvl>
    </w:lvlOverride>
  </w:num>
  <w:num w:numId="40">
    <w:abstractNumId w:val="14"/>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424F8"/>
    <w:rsid w:val="00143FFE"/>
    <w:rsid w:val="001447AF"/>
    <w:rsid w:val="001462B6"/>
    <w:rsid w:val="00154828"/>
    <w:rsid w:val="00157600"/>
    <w:rsid w:val="001648CE"/>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8AD"/>
    <w:rsid w:val="002A5B81"/>
    <w:rsid w:val="002A74FA"/>
    <w:rsid w:val="002B0850"/>
    <w:rsid w:val="002B0FA9"/>
    <w:rsid w:val="002C0340"/>
    <w:rsid w:val="002C1CB0"/>
    <w:rsid w:val="002C3919"/>
    <w:rsid w:val="002C3F19"/>
    <w:rsid w:val="002C58C4"/>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0C19"/>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101B"/>
    <w:rsid w:val="00371945"/>
    <w:rsid w:val="00371C10"/>
    <w:rsid w:val="003732F4"/>
    <w:rsid w:val="0037502F"/>
    <w:rsid w:val="00377EDE"/>
    <w:rsid w:val="00381239"/>
    <w:rsid w:val="003813DF"/>
    <w:rsid w:val="00383A02"/>
    <w:rsid w:val="003843D5"/>
    <w:rsid w:val="00386320"/>
    <w:rsid w:val="0038721C"/>
    <w:rsid w:val="003918E0"/>
    <w:rsid w:val="00392093"/>
    <w:rsid w:val="003939DC"/>
    <w:rsid w:val="00394434"/>
    <w:rsid w:val="00397593"/>
    <w:rsid w:val="003A05BC"/>
    <w:rsid w:val="003A29A1"/>
    <w:rsid w:val="003A4E8B"/>
    <w:rsid w:val="003A5086"/>
    <w:rsid w:val="003A6CB9"/>
    <w:rsid w:val="003B2CD0"/>
    <w:rsid w:val="003B435D"/>
    <w:rsid w:val="003B48FD"/>
    <w:rsid w:val="003B5317"/>
    <w:rsid w:val="003B55AA"/>
    <w:rsid w:val="003C03F7"/>
    <w:rsid w:val="003C380A"/>
    <w:rsid w:val="003C49AE"/>
    <w:rsid w:val="003C6C74"/>
    <w:rsid w:val="003D002E"/>
    <w:rsid w:val="003D0E85"/>
    <w:rsid w:val="003D25C2"/>
    <w:rsid w:val="003D3657"/>
    <w:rsid w:val="003E4254"/>
    <w:rsid w:val="003E4E0C"/>
    <w:rsid w:val="003E678E"/>
    <w:rsid w:val="003F1F4D"/>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6223D"/>
    <w:rsid w:val="00464F00"/>
    <w:rsid w:val="004709F6"/>
    <w:rsid w:val="00470AFC"/>
    <w:rsid w:val="00472DE2"/>
    <w:rsid w:val="00472FBD"/>
    <w:rsid w:val="00475F78"/>
    <w:rsid w:val="00482C43"/>
    <w:rsid w:val="00490F63"/>
    <w:rsid w:val="0049148B"/>
    <w:rsid w:val="004933FD"/>
    <w:rsid w:val="0049363B"/>
    <w:rsid w:val="00494C7E"/>
    <w:rsid w:val="004962F2"/>
    <w:rsid w:val="004969B5"/>
    <w:rsid w:val="0049788C"/>
    <w:rsid w:val="004A1C46"/>
    <w:rsid w:val="004A6A11"/>
    <w:rsid w:val="004A7A33"/>
    <w:rsid w:val="004B0494"/>
    <w:rsid w:val="004B31B6"/>
    <w:rsid w:val="004B5A7A"/>
    <w:rsid w:val="004B64FE"/>
    <w:rsid w:val="004C02D3"/>
    <w:rsid w:val="004C08AC"/>
    <w:rsid w:val="004C1E1D"/>
    <w:rsid w:val="004C2D3B"/>
    <w:rsid w:val="004D053A"/>
    <w:rsid w:val="004D4970"/>
    <w:rsid w:val="004D4B35"/>
    <w:rsid w:val="004E143D"/>
    <w:rsid w:val="004E32E6"/>
    <w:rsid w:val="004F0AFB"/>
    <w:rsid w:val="004F3D77"/>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A6645"/>
    <w:rsid w:val="005B53E3"/>
    <w:rsid w:val="005C148E"/>
    <w:rsid w:val="005D1203"/>
    <w:rsid w:val="005D1251"/>
    <w:rsid w:val="005D2BCA"/>
    <w:rsid w:val="005D7D6E"/>
    <w:rsid w:val="005E447B"/>
    <w:rsid w:val="005F0C1F"/>
    <w:rsid w:val="005F3085"/>
    <w:rsid w:val="005F5149"/>
    <w:rsid w:val="005F7741"/>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66C90"/>
    <w:rsid w:val="00670152"/>
    <w:rsid w:val="00672378"/>
    <w:rsid w:val="00672B56"/>
    <w:rsid w:val="0067710C"/>
    <w:rsid w:val="00677C60"/>
    <w:rsid w:val="006805B6"/>
    <w:rsid w:val="0068292D"/>
    <w:rsid w:val="006836EC"/>
    <w:rsid w:val="006848BF"/>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15805"/>
    <w:rsid w:val="00725C4E"/>
    <w:rsid w:val="007300C1"/>
    <w:rsid w:val="0073227C"/>
    <w:rsid w:val="007324AF"/>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F1429"/>
    <w:rsid w:val="008F230E"/>
    <w:rsid w:val="008F2D4C"/>
    <w:rsid w:val="008F31DF"/>
    <w:rsid w:val="008F4AB1"/>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7BC0"/>
    <w:rsid w:val="00AD3DAE"/>
    <w:rsid w:val="00AD51CB"/>
    <w:rsid w:val="00AE0237"/>
    <w:rsid w:val="00AE22C4"/>
    <w:rsid w:val="00AE2BA9"/>
    <w:rsid w:val="00AE3127"/>
    <w:rsid w:val="00AE4603"/>
    <w:rsid w:val="00AE6F61"/>
    <w:rsid w:val="00AE701E"/>
    <w:rsid w:val="00AF1C64"/>
    <w:rsid w:val="00AF565E"/>
    <w:rsid w:val="00B00296"/>
    <w:rsid w:val="00B01001"/>
    <w:rsid w:val="00B01140"/>
    <w:rsid w:val="00B01D30"/>
    <w:rsid w:val="00B03F8D"/>
    <w:rsid w:val="00B046A4"/>
    <w:rsid w:val="00B12EE4"/>
    <w:rsid w:val="00B143D4"/>
    <w:rsid w:val="00B166DD"/>
    <w:rsid w:val="00B23481"/>
    <w:rsid w:val="00B302CD"/>
    <w:rsid w:val="00B33915"/>
    <w:rsid w:val="00B37B00"/>
    <w:rsid w:val="00B4295F"/>
    <w:rsid w:val="00B50745"/>
    <w:rsid w:val="00B51A62"/>
    <w:rsid w:val="00B55C2C"/>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971FF"/>
    <w:rsid w:val="00CA0F56"/>
    <w:rsid w:val="00CA1152"/>
    <w:rsid w:val="00CB295F"/>
    <w:rsid w:val="00CB6787"/>
    <w:rsid w:val="00CB6EB6"/>
    <w:rsid w:val="00CC009D"/>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90FCD"/>
    <w:rsid w:val="00D93669"/>
    <w:rsid w:val="00DB1921"/>
    <w:rsid w:val="00DB36B8"/>
    <w:rsid w:val="00DC01FE"/>
    <w:rsid w:val="00DC1421"/>
    <w:rsid w:val="00DC16CB"/>
    <w:rsid w:val="00DC2CA9"/>
    <w:rsid w:val="00DC50C7"/>
    <w:rsid w:val="00DC62EE"/>
    <w:rsid w:val="00DD512D"/>
    <w:rsid w:val="00DD5F5C"/>
    <w:rsid w:val="00DE0468"/>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587"/>
    <w:rsid w:val="00ED1DDF"/>
    <w:rsid w:val="00ED250C"/>
    <w:rsid w:val="00ED25FC"/>
    <w:rsid w:val="00ED3B0F"/>
    <w:rsid w:val="00EE33C9"/>
    <w:rsid w:val="00EE3479"/>
    <w:rsid w:val="00EE4A1E"/>
    <w:rsid w:val="00EE69C1"/>
    <w:rsid w:val="00EF0900"/>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4B200BC-F390-462C-B8C2-66956C3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10" Type="http://schemas.openxmlformats.org/officeDocument/2006/relationships/image" Target="media/image3.jp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Chen et al. 2018</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C871-4395-B704-079B77BBD2D2}"/>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1B3CC08-9107-4FE3-90D1-9D9533A0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9983</Words>
  <Characters>53910</Characters>
  <Application>Microsoft Office Word</Application>
  <DocSecurity>0</DocSecurity>
  <Lines>449</Lines>
  <Paragraphs>127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7</cp:revision>
  <cp:lastPrinted>2020-02-17T00:33:00Z</cp:lastPrinted>
  <dcterms:created xsi:type="dcterms:W3CDTF">2020-04-20T15:26:00Z</dcterms:created>
  <dcterms:modified xsi:type="dcterms:W3CDTF">2020-04-23T00:38:00Z</dcterms:modified>
</cp:coreProperties>
</file>