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3F0" w14:textId="77777777" w:rsidR="00F13812" w:rsidRPr="00F13812" w:rsidRDefault="00F13812" w:rsidP="00F13812">
      <w:pPr>
        <w:spacing w:after="0" w:line="357" w:lineRule="auto"/>
        <w:ind w:left="10" w:right="-129" w:hanging="10"/>
        <w:jc w:val="center"/>
        <w:rPr>
          <w:rFonts w:ascii="Times New Roman" w:hAnsi="Times New Roman" w:cs="Times New Roman"/>
          <w:sz w:val="28"/>
        </w:rPr>
      </w:pP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2D87FBA8" wp14:editId="521A310E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899160" cy="9378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CE321F" wp14:editId="73928D65">
            <wp:simplePos x="0" y="0"/>
            <wp:positionH relativeFrom="column">
              <wp:posOffset>4940300</wp:posOffset>
            </wp:positionH>
            <wp:positionV relativeFrom="paragraph">
              <wp:posOffset>-5080</wp:posOffset>
            </wp:positionV>
            <wp:extent cx="899795" cy="718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1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sz w:val="28"/>
        </w:rPr>
        <w:t xml:space="preserve">UNIVERSIDADE ESTADUAL DE CAMPINAS </w:t>
      </w:r>
    </w:p>
    <w:p w14:paraId="0565C427" w14:textId="0097866B" w:rsidR="00F13812" w:rsidRDefault="00F13812" w:rsidP="00F13812">
      <w:pPr>
        <w:spacing w:after="0" w:line="357" w:lineRule="auto"/>
        <w:ind w:left="10" w:right="-129" w:hanging="10"/>
        <w:jc w:val="center"/>
      </w:pPr>
      <w:r w:rsidRPr="00F13812">
        <w:rPr>
          <w:rFonts w:ascii="Times New Roman" w:hAnsi="Times New Roman" w:cs="Times New Roman"/>
          <w:sz w:val="28"/>
        </w:rPr>
        <w:t>INSTITUTO DE ECONOMIA</w:t>
      </w:r>
      <w:r>
        <w:rPr>
          <w:sz w:val="28"/>
        </w:rPr>
        <w:t xml:space="preserve"> </w:t>
      </w:r>
    </w:p>
    <w:p w14:paraId="2C22CD6F" w14:textId="77777777" w:rsidR="00F13812" w:rsidRDefault="00F13812" w:rsidP="00F13812">
      <w:pPr>
        <w:spacing w:after="134" w:line="256" w:lineRule="auto"/>
        <w:ind w:left="132"/>
        <w:jc w:val="center"/>
      </w:pPr>
      <w:r>
        <w:rPr>
          <w:sz w:val="28"/>
        </w:rPr>
        <w:t xml:space="preserve"> </w:t>
      </w:r>
    </w:p>
    <w:p w14:paraId="4E2FD6D1" w14:textId="77777777" w:rsidR="00F13812" w:rsidRDefault="00F13812" w:rsidP="00F13812">
      <w:pPr>
        <w:spacing w:after="0" w:line="360" w:lineRule="auto"/>
        <w:ind w:right="7471"/>
      </w:pPr>
      <w:r>
        <w:rPr>
          <w:sz w:val="28"/>
        </w:rPr>
        <w:t xml:space="preserve">  </w:t>
      </w:r>
    </w:p>
    <w:p w14:paraId="1C50F24F" w14:textId="77777777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6EEAA38B" w14:textId="34A0C744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3A90EBC8" w14:textId="42499076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1B37E72C" w14:textId="4AAC3077" w:rsidR="00F13812" w:rsidRDefault="00F13812" w:rsidP="00F13812">
      <w:pPr>
        <w:spacing w:after="117" w:line="256" w:lineRule="auto"/>
        <w:jc w:val="center"/>
      </w:pPr>
    </w:p>
    <w:p w14:paraId="4ACC28E2" w14:textId="15495646" w:rsidR="00F13812" w:rsidRDefault="00F13812" w:rsidP="00F13812">
      <w:pPr>
        <w:spacing w:after="117" w:line="256" w:lineRule="auto"/>
        <w:jc w:val="center"/>
      </w:pPr>
    </w:p>
    <w:p w14:paraId="397F6BAF" w14:textId="77777777" w:rsidR="00F13812" w:rsidRDefault="00F13812" w:rsidP="00F13812">
      <w:pPr>
        <w:spacing w:after="117" w:line="256" w:lineRule="auto"/>
        <w:jc w:val="center"/>
      </w:pPr>
    </w:p>
    <w:p w14:paraId="64B21ADD" w14:textId="6852F183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51081FBB" w14:textId="3FB62D6A" w:rsidR="00F13812" w:rsidRDefault="00F13812" w:rsidP="00F13812">
      <w:pPr>
        <w:spacing w:after="115" w:line="256" w:lineRule="auto"/>
        <w:jc w:val="center"/>
      </w:pPr>
    </w:p>
    <w:p w14:paraId="256D1643" w14:textId="77777777" w:rsidR="00F13812" w:rsidRDefault="00F13812" w:rsidP="00F13812">
      <w:pPr>
        <w:spacing w:after="115" w:line="256" w:lineRule="auto"/>
        <w:jc w:val="center"/>
      </w:pPr>
    </w:p>
    <w:p w14:paraId="1FBD8DDE" w14:textId="77777777" w:rsidR="00F13812" w:rsidRDefault="00F13812" w:rsidP="00F13812">
      <w:pPr>
        <w:spacing w:after="153" w:line="256" w:lineRule="auto"/>
        <w:jc w:val="center"/>
      </w:pPr>
      <w:r>
        <w:t xml:space="preserve"> </w:t>
      </w:r>
    </w:p>
    <w:p w14:paraId="5FF9CDD8" w14:textId="5F7B1CD0" w:rsidR="00F13812" w:rsidRPr="00F13812" w:rsidRDefault="007C0FEC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LÓGICA FUZZY PARA PREVISÃO DO VOLUME DE NEGOCIAÇÕES EM BOLSA</w:t>
      </w:r>
    </w:p>
    <w:p w14:paraId="261619C2" w14:textId="2E178DBF" w:rsidR="00FB1B17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Monografia de Conclusão de Curso</w:t>
      </w:r>
    </w:p>
    <w:p w14:paraId="5BE18125" w14:textId="47003077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Victor Hugo Alves Duarte</w:t>
      </w:r>
    </w:p>
    <w:p w14:paraId="447311EC" w14:textId="05D8D174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Rosângela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Ballini</w:t>
      </w:r>
      <w:proofErr w:type="spellEnd"/>
    </w:p>
    <w:p w14:paraId="0D5ABEF3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6D5C1DD5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1F15F0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23D66F20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7471D639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4E343102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4348ED9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5FCEDDB1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1E1BBF79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298D3536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293F318F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785D05B9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7B69514" w14:textId="0281CB5A" w:rsidR="004122FA" w:rsidRDefault="00F13812" w:rsidP="004122FA">
      <w:pPr>
        <w:spacing w:after="117" w:line="256" w:lineRule="auto"/>
        <w:jc w:val="center"/>
      </w:pPr>
      <w:r>
        <w:t xml:space="preserve"> </w:t>
      </w:r>
    </w:p>
    <w:p w14:paraId="6BD25AA8" w14:textId="1CA1627F" w:rsidR="00F13812" w:rsidRPr="00F13812" w:rsidRDefault="004122FA" w:rsidP="00F13812">
      <w:pPr>
        <w:spacing w:after="0" w:line="256" w:lineRule="auto"/>
        <w:ind w:left="10" w:right="68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Campinas</w:t>
      </w:r>
    </w:p>
    <w:p w14:paraId="3619083E" w14:textId="3FBE59C1" w:rsidR="00F13812" w:rsidRPr="00F13812" w:rsidRDefault="00F13812" w:rsidP="00F13812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  <w:sz w:val="20"/>
          <w:szCs w:val="20"/>
        </w:rPr>
      </w:pPr>
      <w:r w:rsidRPr="00F13812">
        <w:rPr>
          <w:rFonts w:ascii="Times New Roman" w:hAnsi="Times New Roman" w:cs="Times New Roman"/>
          <w:sz w:val="24"/>
          <w:szCs w:val="20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349469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06F6CF12" w14:textId="77DA9D1C" w:rsidR="00CC5A78" w:rsidRPr="00BC13B9" w:rsidRDefault="00CC5A78" w:rsidP="00BC13B9">
          <w:pPr>
            <w:pStyle w:val="CabealhodoSumrio"/>
            <w:spacing w:line="360" w:lineRule="auto"/>
            <w:ind w:left="426" w:hanging="42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C13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F0D9A05" w14:textId="77777777" w:rsidR="00BC13B9" w:rsidRPr="00622A92" w:rsidRDefault="00BC13B9" w:rsidP="00622A92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60F747CD" w14:textId="443215BD" w:rsidR="00CC5A78" w:rsidRPr="00622A92" w:rsidRDefault="00CC5A78" w:rsidP="00622A92">
          <w:pPr>
            <w:pStyle w:val="Sumrio1"/>
            <w:spacing w:line="360" w:lineRule="auto"/>
            <w:ind w:left="426" w:hanging="426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RESUMO</w:t>
          </w:r>
          <w:r w:rsidR="007608B4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608B4"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98A64A9" w14:textId="61B148F0" w:rsidR="00CC5A78" w:rsidRDefault="00CC5A78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0" w:name="_Hlk114919059"/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REVISÃO BIBLIOGRÁFICA</w:t>
          </w:r>
          <w:r w:rsidR="006E28B7"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444B10" w14:textId="66A98FB2" w:rsidR="00CC5A78" w:rsidRPr="00622A92" w:rsidRDefault="00CC5A78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POPULARIZAÇÃO DA BOLSA DE VALORES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bookmarkEnd w:id="0"/>
        <w:p w14:paraId="1AE2C336" w14:textId="015595C3" w:rsidR="00CC5A78" w:rsidRDefault="004473AE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EXPECTATIVA, INCERTEZA E CONFIANÇA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C5A78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C5A78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3D934DF" w14:textId="27A68F71" w:rsidR="004473AE" w:rsidRP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CORRELAÇÃO E CAUSALIDADE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46D5192" w14:textId="2A176997" w:rsidR="00756A53" w:rsidRPr="00B1436C" w:rsidRDefault="004473AE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HIPÓTESE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5A6FC39" w14:textId="108EDA36" w:rsid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226F14B" w14:textId="099CBEBA" w:rsidR="004473AE" w:rsidRPr="00622A92" w:rsidRDefault="004473AE" w:rsidP="004473AE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GERAIS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3B03BB3D" w14:textId="4C42E23C" w:rsid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ESPECÍFICOS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CEDE845" w14:textId="19705C09" w:rsidR="004473AE" w:rsidRP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JUSTIFICATIVA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BDD9C34" w14:textId="375D5F68" w:rsidR="00756A53" w:rsidRPr="00622A92" w:rsidRDefault="00756A53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METODOLOGIA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45F7E2D7" w14:textId="3F04D49D" w:rsidR="00756A53" w:rsidRPr="00622A92" w:rsidRDefault="00756A53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TIPO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51C63216" w14:textId="0BBBCF1A" w:rsidR="00756A53" w:rsidRPr="00622A92" w:rsidRDefault="00756A53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PERÍODO E ATIVOS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9E3B84B" w14:textId="6BEF41E9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AQUISIÇÃO DOS DADOS </w:t>
          </w:r>
          <w:r w:rsidR="00756A53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6A53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53A625E" w14:textId="3EF22E84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ANÁLISE DESCRITIVA E EXPLORATRÓRIA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27F4CA96" w14:textId="34A527BC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CONSTRUÇÃO DA LÓGICA FUZZY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5C89DA74" w14:textId="228E949A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MODELO FINAL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19077276" w14:textId="79DA1C45" w:rsidR="006E28B7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CRONOGRAMA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00069F8" w14:textId="2576A3D0" w:rsidR="00CC5A78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REFERÊNCIAS BIBLIOGRÁFICAS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</w:sdtContent>
    </w:sdt>
    <w:p w14:paraId="1B546B4B" w14:textId="10A4CBFB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0459" w14:textId="22DD8B99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12814" w14:textId="66AB434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10DF4" w14:textId="01C1199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886D" w14:textId="51219DE2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C13E" w14:textId="11AC2EB5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8086C" w14:textId="77777777" w:rsidR="00231103" w:rsidRDefault="0023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B78F9" w14:textId="50FC5F81" w:rsidR="00623BDD" w:rsidRPr="0041693C" w:rsidRDefault="0062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3D7521C5" w14:textId="3B26776E" w:rsidR="00DB49E0" w:rsidRPr="0041693C" w:rsidRDefault="0029586B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Com o aumento da quantidade de dados disponibilizados na internet, o advento e popularização das mídias sociais e o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recente </w:t>
      </w:r>
      <w:r w:rsidRPr="0041693C">
        <w:rPr>
          <w:rFonts w:ascii="Times New Roman" w:hAnsi="Times New Roman" w:cs="Times New Roman"/>
          <w:sz w:val="24"/>
          <w:szCs w:val="24"/>
        </w:rPr>
        <w:t>aumento da quantidade de investidores pessoa física</w:t>
      </w:r>
      <w:r w:rsidR="00E72D3C" w:rsidRPr="0041693C">
        <w:rPr>
          <w:rFonts w:ascii="Times New Roman" w:hAnsi="Times New Roman" w:cs="Times New Roman"/>
          <w:sz w:val="24"/>
          <w:szCs w:val="24"/>
        </w:rPr>
        <w:t xml:space="preserve"> (PF)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Pr="0041693C">
        <w:rPr>
          <w:rFonts w:ascii="Times New Roman" w:hAnsi="Times New Roman" w:cs="Times New Roman"/>
          <w:sz w:val="24"/>
          <w:szCs w:val="24"/>
        </w:rPr>
        <w:t xml:space="preserve">, surgiu a hipótese de que o volume de negociação de determinados ativos poderia ser influenciado pela popularidade dos mesmos na internet, de modo que os investidores </w:t>
      </w:r>
      <w:r w:rsidR="008E0457" w:rsidRPr="0041693C">
        <w:rPr>
          <w:rFonts w:ascii="Times New Roman" w:hAnsi="Times New Roman" w:cs="Times New Roman"/>
          <w:sz w:val="24"/>
          <w:szCs w:val="24"/>
        </w:rPr>
        <w:t>realizem suas</w:t>
      </w:r>
      <w:r w:rsidRPr="0041693C">
        <w:rPr>
          <w:rFonts w:ascii="Times New Roman" w:hAnsi="Times New Roman" w:cs="Times New Roman"/>
          <w:sz w:val="24"/>
          <w:szCs w:val="24"/>
        </w:rPr>
        <w:t xml:space="preserve"> compra</w:t>
      </w:r>
      <w:r w:rsidR="008E0457" w:rsidRPr="0041693C">
        <w:rPr>
          <w:rFonts w:ascii="Times New Roman" w:hAnsi="Times New Roman" w:cs="Times New Roman"/>
          <w:sz w:val="24"/>
          <w:szCs w:val="24"/>
        </w:rPr>
        <w:t>s</w:t>
      </w:r>
      <w:r w:rsidRPr="0041693C">
        <w:rPr>
          <w:rFonts w:ascii="Times New Roman" w:hAnsi="Times New Roman" w:cs="Times New Roman"/>
          <w:sz w:val="24"/>
          <w:szCs w:val="24"/>
        </w:rPr>
        <w:t xml:space="preserve"> baseado na influência – dispersa ou centralizada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8E0457" w:rsidRPr="0041693C">
        <w:rPr>
          <w:rFonts w:ascii="Times New Roman" w:hAnsi="Times New Roman" w:cs="Times New Roman"/>
          <w:i/>
          <w:iCs/>
          <w:sz w:val="24"/>
          <w:szCs w:val="24"/>
        </w:rPr>
        <w:t>infuencers</w:t>
      </w:r>
      <w:proofErr w:type="spellEnd"/>
      <w:r w:rsidR="008E0457"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Pr="0041693C">
        <w:rPr>
          <w:rFonts w:ascii="Times New Roman" w:hAnsi="Times New Roman" w:cs="Times New Roman"/>
          <w:sz w:val="24"/>
          <w:szCs w:val="24"/>
        </w:rPr>
        <w:t>– que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a internet exerce sobre as decisões de investimento.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9002" w14:textId="469DCC8D" w:rsidR="009B7B8A" w:rsidRDefault="009B7B8A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Dado este contexto, </w:t>
      </w:r>
      <w:r w:rsidR="0029586B" w:rsidRPr="0041693C">
        <w:rPr>
          <w:rFonts w:ascii="Times New Roman" w:hAnsi="Times New Roman" w:cs="Times New Roman"/>
          <w:sz w:val="24"/>
          <w:szCs w:val="24"/>
        </w:rPr>
        <w:t xml:space="preserve">este </w:t>
      </w:r>
      <w:r w:rsidRPr="0041693C">
        <w:rPr>
          <w:rFonts w:ascii="Times New Roman" w:hAnsi="Times New Roman" w:cs="Times New Roman"/>
          <w:sz w:val="24"/>
          <w:szCs w:val="24"/>
        </w:rPr>
        <w:t>trabalho de monografia pretende</w:t>
      </w:r>
      <w:r w:rsidR="005C6808">
        <w:rPr>
          <w:rFonts w:ascii="Times New Roman" w:hAnsi="Times New Roman" w:cs="Times New Roman"/>
          <w:sz w:val="24"/>
          <w:szCs w:val="24"/>
        </w:rPr>
        <w:t xml:space="preserve">, </w:t>
      </w:r>
      <w:r w:rsidR="005C6808">
        <w:rPr>
          <w:rFonts w:ascii="Times New Roman" w:hAnsi="Times New Roman" w:cs="Times New Roman"/>
          <w:sz w:val="24"/>
          <w:szCs w:val="24"/>
        </w:rPr>
        <w:t>utilizando métodos estatísticos de análise de correlação e causalidade</w:t>
      </w:r>
      <w:r w:rsidR="005C6808">
        <w:rPr>
          <w:rFonts w:ascii="Times New Roman" w:hAnsi="Times New Roman" w:cs="Times New Roman"/>
          <w:sz w:val="24"/>
          <w:szCs w:val="24"/>
        </w:rPr>
        <w:t>,</w:t>
      </w:r>
      <w:r w:rsidRPr="0041693C">
        <w:rPr>
          <w:rFonts w:ascii="Times New Roman" w:hAnsi="Times New Roman" w:cs="Times New Roman"/>
          <w:sz w:val="24"/>
          <w:szCs w:val="24"/>
        </w:rPr>
        <w:t xml:space="preserve"> explorar a influência da</w:t>
      </w:r>
      <w:r w:rsidR="00DB55EF">
        <w:rPr>
          <w:rFonts w:ascii="Times New Roman" w:hAnsi="Times New Roman" w:cs="Times New Roman"/>
          <w:sz w:val="24"/>
          <w:szCs w:val="24"/>
        </w:rPr>
        <w:t xml:space="preserve"> internet – especificamente d</w:t>
      </w:r>
      <w:r w:rsidR="005C6808">
        <w:rPr>
          <w:rFonts w:ascii="Times New Roman" w:hAnsi="Times New Roman" w:cs="Times New Roman"/>
          <w:sz w:val="24"/>
          <w:szCs w:val="24"/>
        </w:rPr>
        <w:t xml:space="preserve">os principais mecanismos de busca </w:t>
      </w:r>
      <w:r w:rsidR="00DB55EF">
        <w:rPr>
          <w:rFonts w:ascii="Times New Roman" w:hAnsi="Times New Roman" w:cs="Times New Roman"/>
          <w:sz w:val="24"/>
          <w:szCs w:val="24"/>
        </w:rPr>
        <w:t xml:space="preserve">– </w:t>
      </w:r>
      <w:r w:rsidRPr="0041693C">
        <w:rPr>
          <w:rFonts w:ascii="Times New Roman" w:hAnsi="Times New Roman" w:cs="Times New Roman"/>
          <w:sz w:val="24"/>
          <w:szCs w:val="24"/>
        </w:rPr>
        <w:t>nas movimentações de compra</w:t>
      </w:r>
      <w:r w:rsidR="005C6808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="004D5DC4">
        <w:rPr>
          <w:rFonts w:ascii="Times New Roman" w:hAnsi="Times New Roman" w:cs="Times New Roman"/>
          <w:sz w:val="24"/>
          <w:szCs w:val="24"/>
        </w:rPr>
        <w:t xml:space="preserve"> do Brasil</w:t>
      </w:r>
      <w:r w:rsidRPr="0041693C">
        <w:rPr>
          <w:rFonts w:ascii="Times New Roman" w:hAnsi="Times New Roman" w:cs="Times New Roman"/>
          <w:sz w:val="24"/>
          <w:szCs w:val="24"/>
        </w:rPr>
        <w:t xml:space="preserve">. Além disso, será desenvolvido um sistema lógico </w:t>
      </w:r>
      <w:proofErr w:type="spellStart"/>
      <w:r w:rsidRPr="0041693C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DB49E0" w:rsidRPr="0041693C">
        <w:rPr>
          <w:rFonts w:ascii="Times New Roman" w:hAnsi="Times New Roman" w:cs="Times New Roman"/>
          <w:sz w:val="24"/>
          <w:szCs w:val="24"/>
        </w:rPr>
        <w:t>que buscará indicar a tendência do volume de negociações com base na popularidade do ativo na internet.</w:t>
      </w:r>
    </w:p>
    <w:p w14:paraId="5D966D59" w14:textId="6EEDD9E1" w:rsidR="00D55FEF" w:rsidRDefault="00D55FEF" w:rsidP="00D55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71D1" w14:textId="0320D913" w:rsidR="00D55FEF" w:rsidRPr="00F604B4" w:rsidRDefault="00D55FEF" w:rsidP="00D55F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Palavras-Chave: Mercado Financeiro; </w:t>
      </w:r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Lógica </w:t>
      </w:r>
      <w:proofErr w:type="spellStart"/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>Fuzzy</w:t>
      </w:r>
      <w:proofErr w:type="spellEnd"/>
      <w:r w:rsidR="00F604B4" w:rsidRPr="00F604B4">
        <w:rPr>
          <w:rFonts w:ascii="Times New Roman" w:hAnsi="Times New Roman" w:cs="Times New Roman"/>
          <w:b/>
          <w:bCs/>
          <w:sz w:val="24"/>
          <w:szCs w:val="24"/>
        </w:rPr>
        <w:t>; Inteligência Artificial.</w:t>
      </w:r>
    </w:p>
    <w:p w14:paraId="01816B6B" w14:textId="5E78985B" w:rsidR="004F7DE1" w:rsidRDefault="004F7DE1">
      <w:pPr>
        <w:rPr>
          <w:rFonts w:ascii="Times New Roman" w:hAnsi="Times New Roman" w:cs="Times New Roman"/>
          <w:sz w:val="24"/>
          <w:szCs w:val="24"/>
        </w:rPr>
      </w:pPr>
    </w:p>
    <w:p w14:paraId="5379C049" w14:textId="00D2999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5A42D8" w14:textId="63C312EA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DB9740F" w14:textId="5EA64BE6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CBA9856" w14:textId="0D72F6A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E6D5597" w14:textId="13792B1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760145" w14:textId="0C1B829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166DC27C" w14:textId="0BCACA8B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DC8F283" w14:textId="210C786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6733DE9" w14:textId="3E1B0C94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EBE6A33" w14:textId="59FCF799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8B396F3" w14:textId="7CB2D77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40105B6" w14:textId="6644FF57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0049FED" w14:textId="29CD964C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F0BA5CB" w14:textId="77777777" w:rsidR="0040597C" w:rsidRDefault="0040597C">
      <w:pPr>
        <w:rPr>
          <w:rFonts w:ascii="Times New Roman" w:hAnsi="Times New Roman" w:cs="Times New Roman"/>
          <w:sz w:val="24"/>
          <w:szCs w:val="24"/>
        </w:rPr>
      </w:pPr>
    </w:p>
    <w:p w14:paraId="2F36E936" w14:textId="77777777" w:rsidR="00477E30" w:rsidRPr="0041693C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C7C9554" w14:textId="6F61CB32" w:rsidR="004F7DE1" w:rsidRDefault="004F7DE1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15BD252B" w14:textId="14479A98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86FF" w14:textId="6E01ACF1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E71EC" w14:textId="3701170D" w:rsidR="00D704A3" w:rsidRPr="00997621" w:rsidRDefault="00D704A3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POPULARIZAÇÃO DA BOLSA DE VALORES</w:t>
      </w:r>
    </w:p>
    <w:p w14:paraId="4EEE89D1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3053F41" w14:textId="19C8FF15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3736AC">
        <w:rPr>
          <w:rFonts w:ascii="Times New Roman" w:hAnsi="Times New Roman" w:cs="Times New Roman"/>
          <w:sz w:val="24"/>
          <w:szCs w:val="24"/>
        </w:rPr>
        <w:t>com estudo realizado pela B3, o número de</w:t>
      </w:r>
      <w:r>
        <w:rPr>
          <w:rFonts w:ascii="Times New Roman" w:hAnsi="Times New Roman" w:cs="Times New Roman"/>
          <w:sz w:val="24"/>
          <w:szCs w:val="24"/>
        </w:rPr>
        <w:t xml:space="preserve"> investidores pessoa física na bolsa aumentou quase 300% entre 2018, quando o número de contas era de 814 mil, e 2020, quando o número chegou a 3,2 milhões. Ainda, o estudo mostra que a maior parte dos novos investidores recorre às mídias digitais no momento de buscar informações e de aprender sobre os diferentes tipos de investimentos e ativos, estando as palavras-chave “internet”, “influenciadores” e “redes sociais” entre as mais citadas quando é questionado onde se costuma buscar informações sobre a bolsa.</w:t>
      </w:r>
    </w:p>
    <w:p w14:paraId="0B587643" w14:textId="51667D98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Se, por um lado, o avanço da tecnologia e a popularização das mídias sociais contribuíram para a democratização do acesso aos investimentos, por outro lado, também expuseram os novos investidores aos riscos do mercado de renda variável sem que antes estivessem, necessariamente, plenamente conscientes dos riscos e educados financeiramente para que tomassem decisões compatíveis com seu perfil e momento, os tornando facilmente influenciáveis por </w:t>
      </w:r>
      <w:r w:rsidR="00DC26DE">
        <w:rPr>
          <w:rFonts w:ascii="Times New Roman" w:hAnsi="Times New Roman" w:cs="Times New Roman"/>
          <w:sz w:val="24"/>
          <w:szCs w:val="24"/>
        </w:rPr>
        <w:t>personalidades</w:t>
      </w:r>
      <w:r>
        <w:rPr>
          <w:rFonts w:ascii="Times New Roman" w:hAnsi="Times New Roman" w:cs="Times New Roman"/>
          <w:sz w:val="24"/>
          <w:szCs w:val="24"/>
        </w:rPr>
        <w:t xml:space="preserve"> e informações desencontradas nas redes sociais.</w:t>
      </w:r>
    </w:p>
    <w:p w14:paraId="5BBD8D0E" w14:textId="77777777" w:rsidR="00D704A3" w:rsidRPr="001A1E3F" w:rsidRDefault="00D704A3" w:rsidP="00D704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201B" w14:textId="18CF6DBD" w:rsidR="00ED1F0D" w:rsidRPr="00ED1F0D" w:rsidRDefault="00D704A3" w:rsidP="00ED1F0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EXPECTATIVA, INCERTEZA E CONFIANÇA</w:t>
      </w:r>
    </w:p>
    <w:p w14:paraId="542E9F10" w14:textId="77777777" w:rsidR="00CA5749" w:rsidRDefault="00CA5749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4047274" w14:textId="710BC74B" w:rsidR="004946B5" w:rsidRDefault="004946B5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946B5">
        <w:rPr>
          <w:rFonts w:ascii="Times New Roman" w:hAnsi="Times New Roman" w:cs="Times New Roman"/>
          <w:sz w:val="24"/>
          <w:szCs w:val="24"/>
          <w:highlight w:val="yellow"/>
        </w:rPr>
        <w:t>Definir expectativas e incerteza</w:t>
      </w:r>
      <w:r w:rsidR="00300B25">
        <w:rPr>
          <w:rFonts w:ascii="Times New Roman" w:hAnsi="Times New Roman" w:cs="Times New Roman"/>
          <w:sz w:val="24"/>
          <w:szCs w:val="24"/>
          <w:highlight w:val="yellow"/>
        </w:rPr>
        <w:t xml:space="preserve"> (ler </w:t>
      </w:r>
      <w:proofErr w:type="spellStart"/>
      <w:r w:rsidR="00300B25">
        <w:rPr>
          <w:rFonts w:ascii="Times New Roman" w:hAnsi="Times New Roman" w:cs="Times New Roman"/>
          <w:sz w:val="24"/>
          <w:szCs w:val="24"/>
          <w:highlight w:val="yellow"/>
        </w:rPr>
        <w:t>Dequech</w:t>
      </w:r>
      <w:proofErr w:type="spellEnd"/>
      <w:r w:rsidR="00300B25">
        <w:rPr>
          <w:rFonts w:ascii="Times New Roman" w:hAnsi="Times New Roman" w:cs="Times New Roman"/>
          <w:sz w:val="24"/>
          <w:szCs w:val="24"/>
          <w:highlight w:val="yellow"/>
        </w:rPr>
        <w:t xml:space="preserve"> de novo)</w:t>
      </w:r>
      <w:r w:rsidRPr="004946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4AA35E7" w14:textId="4A2E4E2F" w:rsidR="00ED1F0D" w:rsidRPr="00997621" w:rsidRDefault="004946B5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ED1F0D" w:rsidRPr="00275B9B">
        <w:rPr>
          <w:rFonts w:ascii="Times New Roman" w:hAnsi="Times New Roman" w:cs="Times New Roman"/>
          <w:sz w:val="24"/>
          <w:szCs w:val="24"/>
        </w:rPr>
        <w:t>Keynes (1936)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1F0D" w:rsidRPr="00275B9B">
        <w:rPr>
          <w:rFonts w:ascii="Times New Roman" w:hAnsi="Times New Roman" w:cs="Times New Roman"/>
          <w:sz w:val="24"/>
          <w:szCs w:val="24"/>
        </w:rPr>
        <w:t xml:space="preserve"> </w:t>
      </w:r>
      <w:r w:rsidR="00ED1F0D" w:rsidRPr="00997621">
        <w:rPr>
          <w:rFonts w:ascii="Times New Roman" w:hAnsi="Times New Roman" w:cs="Times New Roman"/>
          <w:sz w:val="24"/>
          <w:szCs w:val="24"/>
        </w:rPr>
        <w:t>o investidor financeiro não compra uma ação porque acredita que ela irá valorizar por conta dos fundamentos da empresa, mas porque acredita que os outros investidores também acreditam que a ação irá valorizar (e assim por diante), fazendo com que o preço suba, neste caso, ou caia, em um cenário contrário. Devido à incerteza, isto é, a falta de confiança nas expectativas, uma grande parte das decisões tomadas pelos homens – como a</w:t>
      </w:r>
      <w:r w:rsidR="00B44470">
        <w:rPr>
          <w:rFonts w:ascii="Times New Roman" w:hAnsi="Times New Roman" w:cs="Times New Roman"/>
          <w:sz w:val="24"/>
          <w:szCs w:val="24"/>
        </w:rPr>
        <w:t>s</w:t>
      </w:r>
      <w:r w:rsidR="00ED1F0D" w:rsidRPr="00997621">
        <w:rPr>
          <w:rFonts w:ascii="Times New Roman" w:hAnsi="Times New Roman" w:cs="Times New Roman"/>
          <w:sz w:val="24"/>
          <w:szCs w:val="24"/>
        </w:rPr>
        <w:t xml:space="preserve"> de investimento – dependem em certa medida da crença de que outros investidores farão o mesmo e de que o sentimento do mercado é compartilhado pela maioria dos investidores.</w:t>
      </w:r>
    </w:p>
    <w:p w14:paraId="6F1F119A" w14:textId="15F329EC" w:rsidR="00B44470" w:rsidRPr="00AC05EE" w:rsidRDefault="00ED1F0D" w:rsidP="00B4447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lastRenderedPageBreak/>
        <w:t>Deste modo, infere-se que a tomada de decisão de investidores</w:t>
      </w:r>
      <w:r w:rsidR="00B44470">
        <w:rPr>
          <w:rFonts w:ascii="Times New Roman" w:hAnsi="Times New Roman" w:cs="Times New Roman"/>
          <w:sz w:val="24"/>
          <w:szCs w:val="24"/>
        </w:rPr>
        <w:t xml:space="preserve"> profissionais</w:t>
      </w:r>
      <w:r w:rsidRPr="00997621">
        <w:rPr>
          <w:rFonts w:ascii="Times New Roman" w:hAnsi="Times New Roman" w:cs="Times New Roman"/>
          <w:sz w:val="24"/>
          <w:szCs w:val="24"/>
        </w:rPr>
        <w:t xml:space="preserve"> é tomada por fatores não plenamente racionais e </w:t>
      </w:r>
      <w:r w:rsidR="00B44470">
        <w:rPr>
          <w:rFonts w:ascii="Times New Roman" w:hAnsi="Times New Roman" w:cs="Times New Roman"/>
          <w:sz w:val="24"/>
          <w:szCs w:val="24"/>
        </w:rPr>
        <w:t xml:space="preserve">é </w:t>
      </w:r>
      <w:r w:rsidRPr="00997621">
        <w:rPr>
          <w:rFonts w:ascii="Times New Roman" w:hAnsi="Times New Roman" w:cs="Times New Roman"/>
          <w:sz w:val="24"/>
          <w:szCs w:val="24"/>
        </w:rPr>
        <w:t>fortemente influenciada pela percepção geral do mercado</w:t>
      </w:r>
      <w:r w:rsidR="00B44470">
        <w:rPr>
          <w:rFonts w:ascii="Times New Roman" w:hAnsi="Times New Roman" w:cs="Times New Roman"/>
          <w:sz w:val="24"/>
          <w:szCs w:val="24"/>
        </w:rPr>
        <w:t xml:space="preserve">. Por conseguinte, </w:t>
      </w:r>
      <w:r w:rsidRPr="00997621">
        <w:rPr>
          <w:rFonts w:ascii="Times New Roman" w:hAnsi="Times New Roman" w:cs="Times New Roman"/>
          <w:sz w:val="24"/>
          <w:szCs w:val="24"/>
        </w:rPr>
        <w:t>a tomada de decisões de investidores novatos em bolsa com pouca experiencia e conhecimento em mercado financeiro também deve sofrer forte influência do que interpretam como a “percepção geral do mercado”.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8C844" w14:textId="77777777" w:rsidR="00ED1F0D" w:rsidRPr="00ED1F0D" w:rsidRDefault="00ED1F0D" w:rsidP="00ED1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BCAF9" w14:textId="5A1F8662" w:rsidR="00ED1F0D" w:rsidRDefault="00ED1F0D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CORRELAÇÃO E CAUSALIDADE</w:t>
      </w:r>
    </w:p>
    <w:p w14:paraId="067338CB" w14:textId="6B49C50F" w:rsidR="00AC05EE" w:rsidRDefault="00AC05EE" w:rsidP="00AC05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D362D" w14:textId="1F85E9F8" w:rsidR="007F4C1A" w:rsidRDefault="00936EBC" w:rsidP="00936E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Causalidade de Granger e teste de </w:t>
      </w:r>
      <w:proofErr w:type="spellStart"/>
      <w:r w:rsidRPr="00936EBC">
        <w:rPr>
          <w:rFonts w:ascii="Times New Roman" w:hAnsi="Times New Roman" w:cs="Times New Roman"/>
          <w:sz w:val="24"/>
          <w:szCs w:val="24"/>
          <w:highlight w:val="yellow"/>
        </w:rPr>
        <w:t>cointegração</w:t>
      </w:r>
      <w:proofErr w:type="spellEnd"/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 (ler artigo do Carneiro)</w:t>
      </w:r>
      <w:r w:rsidR="007F4C1A" w:rsidRPr="00936EB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BD1F48A" w14:textId="64BFCCE6" w:rsidR="00D704A3" w:rsidRPr="00936EBC" w:rsidRDefault="00936EBC" w:rsidP="00936EB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cabe ressaltar que um modelo probabilístico como se pretende construir não tem como pressuposto a causalidade entre as variáveis, tendo como objetivo final somente o alto desempenho nas métricas de avaliação, isto é, grau satisfatório de capacidade preditiva. Portanto, ainda que não seja comprovada relação de causalidade entre os eventos, será possível construir o modelo, desde que as séries temporais estejam correlacionadas.</w:t>
      </w:r>
    </w:p>
    <w:p w14:paraId="404DBBD8" w14:textId="012C1E0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6369" w14:textId="77777777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B824" w14:textId="390837EF" w:rsidR="00D704A3" w:rsidRDefault="00D704A3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B569961" w14:textId="5DEA3CAA" w:rsidR="00D704A3" w:rsidRDefault="00D704A3" w:rsidP="00D70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2B3" w14:textId="2AE302C8" w:rsidR="00D704A3" w:rsidRPr="00997621" w:rsidRDefault="00D704A3" w:rsidP="0099762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 xml:space="preserve">Com base nas referências a respeito da incerteza, expectativas e finanças comportamentais, surgiu a hipótese de que </w:t>
      </w:r>
      <w:r w:rsidR="00A13217" w:rsidRPr="00997621">
        <w:rPr>
          <w:rFonts w:ascii="Times New Roman" w:hAnsi="Times New Roman" w:cs="Times New Roman"/>
          <w:sz w:val="24"/>
          <w:szCs w:val="24"/>
        </w:rPr>
        <w:t>as decisões de investimento na bolsa</w:t>
      </w:r>
      <w:r w:rsidR="00A13217">
        <w:rPr>
          <w:rFonts w:ascii="Times New Roman" w:hAnsi="Times New Roman" w:cs="Times New Roman"/>
          <w:sz w:val="24"/>
          <w:szCs w:val="24"/>
        </w:rPr>
        <w:t xml:space="preserve"> de valores</w:t>
      </w:r>
      <w:r w:rsidR="00A13217" w:rsidRPr="00997621">
        <w:rPr>
          <w:rFonts w:ascii="Times New Roman" w:hAnsi="Times New Roman" w:cs="Times New Roman"/>
          <w:sz w:val="24"/>
          <w:szCs w:val="24"/>
        </w:rPr>
        <w:t xml:space="preserve"> sofrem</w:t>
      </w:r>
      <w:r w:rsidRPr="00997621">
        <w:rPr>
          <w:rFonts w:ascii="Times New Roman" w:hAnsi="Times New Roman" w:cs="Times New Roman"/>
          <w:sz w:val="24"/>
          <w:szCs w:val="24"/>
        </w:rPr>
        <w:t xml:space="preserve"> forte influência das mídias </w:t>
      </w:r>
      <w:r w:rsidR="00A13217">
        <w:rPr>
          <w:rFonts w:ascii="Times New Roman" w:hAnsi="Times New Roman" w:cs="Times New Roman"/>
          <w:sz w:val="24"/>
          <w:szCs w:val="24"/>
        </w:rPr>
        <w:t>digitais</w:t>
      </w:r>
      <w:r w:rsidRPr="00997621">
        <w:rPr>
          <w:rFonts w:ascii="Times New Roman" w:hAnsi="Times New Roman" w:cs="Times New Roman"/>
          <w:sz w:val="24"/>
          <w:szCs w:val="24"/>
        </w:rPr>
        <w:t>, de modo que exista correlação positiva entre a quantidade de menções a determinado ativo na internet e seu volume de negociação</w:t>
      </w:r>
      <w:r w:rsidR="00986987" w:rsidRPr="00997621">
        <w:rPr>
          <w:rFonts w:ascii="Times New Roman" w:hAnsi="Times New Roman" w:cs="Times New Roman"/>
          <w:sz w:val="24"/>
          <w:szCs w:val="24"/>
        </w:rPr>
        <w:t xml:space="preserve"> em bolsa. Confirmando a hipótese inicial, seria possível construir um modelo baseado em lógica </w:t>
      </w:r>
      <w:proofErr w:type="spellStart"/>
      <w:r w:rsidR="00986987" w:rsidRPr="00997621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986987" w:rsidRPr="00997621">
        <w:rPr>
          <w:rFonts w:ascii="Times New Roman" w:hAnsi="Times New Roman" w:cs="Times New Roman"/>
          <w:sz w:val="24"/>
          <w:szCs w:val="24"/>
        </w:rPr>
        <w:t xml:space="preserve"> para prever o volume de negociações de um ativo específico com base em sua popularidade na internet.</w:t>
      </w:r>
    </w:p>
    <w:p w14:paraId="67C9B205" w14:textId="77777777" w:rsidR="001A1E3F" w:rsidRPr="001A1E3F" w:rsidRDefault="001A1E3F" w:rsidP="00986987">
      <w:pPr>
        <w:rPr>
          <w:rFonts w:ascii="Times New Roman" w:hAnsi="Times New Roman" w:cs="Times New Roman"/>
          <w:sz w:val="24"/>
          <w:szCs w:val="24"/>
        </w:rPr>
      </w:pPr>
    </w:p>
    <w:p w14:paraId="5A402FFA" w14:textId="4DB72C8D" w:rsidR="001A1E3F" w:rsidRDefault="00C80BF4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6AD78B6E" w14:textId="5418E865" w:rsidR="00A06279" w:rsidRDefault="00A06279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85EAE" w14:textId="77777777" w:rsidR="00997621" w:rsidRDefault="00997621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33594" w14:textId="6AAB8920" w:rsidR="00997621" w:rsidRPr="00997621" w:rsidRDefault="00A06279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AD07244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3FCB8C1" w14:textId="2847740E" w:rsidR="009C38E5" w:rsidRPr="009C38E5" w:rsidRDefault="009C38E5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a correlação</w:t>
      </w:r>
      <w:r w:rsidR="0064693A">
        <w:rPr>
          <w:rFonts w:ascii="Times New Roman" w:hAnsi="Times New Roman" w:cs="Times New Roman"/>
          <w:sz w:val="24"/>
          <w:szCs w:val="24"/>
        </w:rPr>
        <w:t xml:space="preserve"> e causalidade</w:t>
      </w:r>
      <w:r>
        <w:rPr>
          <w:rFonts w:ascii="Times New Roman" w:hAnsi="Times New Roman" w:cs="Times New Roman"/>
          <w:sz w:val="24"/>
          <w:szCs w:val="24"/>
        </w:rPr>
        <w:t xml:space="preserve"> entre a quantidade de menções de um ativo na internet e seu volume de negociação no mercado fracionário na bolsa e construir um sistema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tem como saída </w:t>
      </w:r>
      <w:r w:rsidRPr="0041693C">
        <w:rPr>
          <w:rFonts w:ascii="Times New Roman" w:hAnsi="Times New Roman" w:cs="Times New Roman"/>
          <w:sz w:val="24"/>
          <w:szCs w:val="24"/>
        </w:rPr>
        <w:t>decisões de tendência (alta, estabilidade e queda) do volume de negociações do ativo com base em sua popularidade na internet.</w:t>
      </w:r>
    </w:p>
    <w:p w14:paraId="77E46C4C" w14:textId="77777777" w:rsidR="00A06279" w:rsidRDefault="00A06279" w:rsidP="00A06279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92F4" w14:textId="040CDB98" w:rsidR="00C80BF4" w:rsidRPr="00997621" w:rsidRDefault="00A06279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FCF7326" w14:textId="77777777" w:rsidR="00CA5749" w:rsidRPr="00CA5749" w:rsidRDefault="00CA5749" w:rsidP="00CA5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E1D9" w14:textId="09BC81E2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R</w:t>
      </w:r>
      <w:r w:rsidR="00C80BF4" w:rsidRPr="00CA5749">
        <w:rPr>
          <w:rFonts w:ascii="Times New Roman" w:hAnsi="Times New Roman" w:cs="Times New Roman"/>
          <w:sz w:val="24"/>
          <w:szCs w:val="24"/>
        </w:rPr>
        <w:t>ealizar uma revisão de literatura acerca do</w:t>
      </w:r>
      <w:r w:rsidRPr="00CA5749">
        <w:rPr>
          <w:rFonts w:ascii="Times New Roman" w:hAnsi="Times New Roman" w:cs="Times New Roman"/>
          <w:sz w:val="24"/>
          <w:szCs w:val="24"/>
        </w:rPr>
        <w:t>s conceitos de expectativas, incerteza e confiança aplicados ao mercado de investimentos mobiliários;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3D9D" w14:textId="1DC127F9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 xml:space="preserve">Analisar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a </w:t>
      </w:r>
      <w:r w:rsidRPr="00CA5749">
        <w:rPr>
          <w:rFonts w:ascii="Times New Roman" w:hAnsi="Times New Roman" w:cs="Times New Roman"/>
          <w:sz w:val="24"/>
          <w:szCs w:val="24"/>
        </w:rPr>
        <w:t xml:space="preserve">correlação entre a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popularidade de um ativo na internet </w:t>
      </w:r>
      <w:r w:rsidRPr="00CA5749">
        <w:rPr>
          <w:rFonts w:ascii="Times New Roman" w:hAnsi="Times New Roman" w:cs="Times New Roman"/>
          <w:sz w:val="24"/>
          <w:szCs w:val="24"/>
        </w:rPr>
        <w:t xml:space="preserve">e </w:t>
      </w:r>
      <w:r w:rsidR="00C80BF4" w:rsidRPr="00CA5749">
        <w:rPr>
          <w:rFonts w:ascii="Times New Roman" w:hAnsi="Times New Roman" w:cs="Times New Roman"/>
          <w:sz w:val="24"/>
          <w:szCs w:val="24"/>
        </w:rPr>
        <w:t>seu volume de negociação</w:t>
      </w:r>
      <w:r w:rsidRPr="00CA5749">
        <w:rPr>
          <w:rFonts w:ascii="Times New Roman" w:hAnsi="Times New Roman" w:cs="Times New Roman"/>
          <w:sz w:val="24"/>
          <w:szCs w:val="24"/>
        </w:rPr>
        <w:t>;</w:t>
      </w:r>
    </w:p>
    <w:p w14:paraId="3D81236B" w14:textId="07BCCC05" w:rsidR="00ED1F0D" w:rsidRPr="00CA5749" w:rsidRDefault="00ED1F0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Aplicar testes de causalidade sobre a relação descrita acima;</w:t>
      </w:r>
    </w:p>
    <w:p w14:paraId="036C508D" w14:textId="42C6B6B4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Construir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  <w:r w:rsidR="00D6544E" w:rsidRPr="00CA5749">
        <w:rPr>
          <w:rFonts w:ascii="Times New Roman" w:hAnsi="Times New Roman" w:cs="Times New Roman"/>
          <w:sz w:val="24"/>
          <w:szCs w:val="24"/>
        </w:rPr>
        <w:t xml:space="preserve">o modelo final baseado em lógica </w:t>
      </w:r>
      <w:proofErr w:type="spellStart"/>
      <w:r w:rsidR="00D6544E" w:rsidRPr="00CA5749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D6544E" w:rsidRPr="00CA5749">
        <w:rPr>
          <w:rFonts w:ascii="Times New Roman" w:hAnsi="Times New Roman" w:cs="Times New Roman"/>
          <w:sz w:val="24"/>
          <w:szCs w:val="24"/>
        </w:rPr>
        <w:t>.</w:t>
      </w:r>
    </w:p>
    <w:p w14:paraId="3EAE8CB4" w14:textId="77777777" w:rsidR="003E2B9D" w:rsidRPr="003E2B9D" w:rsidRDefault="003E2B9D" w:rsidP="003E2B9D">
      <w:pPr>
        <w:rPr>
          <w:rFonts w:ascii="Times New Roman" w:hAnsi="Times New Roman" w:cs="Times New Roman"/>
          <w:sz w:val="24"/>
          <w:szCs w:val="24"/>
        </w:rPr>
      </w:pPr>
    </w:p>
    <w:p w14:paraId="1752C2D7" w14:textId="0EF0D856" w:rsidR="003E2B9D" w:rsidRDefault="003E2B9D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15634B42" w14:textId="7212D304" w:rsidR="006E0BDE" w:rsidRDefault="006E0BDE" w:rsidP="001A1E3F">
      <w:pPr>
        <w:rPr>
          <w:rFonts w:ascii="Times New Roman" w:hAnsi="Times New Roman" w:cs="Times New Roman"/>
          <w:sz w:val="24"/>
          <w:szCs w:val="24"/>
        </w:rPr>
      </w:pPr>
    </w:p>
    <w:p w14:paraId="0C36CE26" w14:textId="1815F6F9" w:rsidR="00803D93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justifica-se a partir do entendimento de que a integração entre as áreas de finanças comportamentais e ciência de dados é um campo de estudo novo e que, devido às potencialidades, apresenta diversas frentes de exploração e carece de contribuições.</w:t>
      </w:r>
      <w:r w:rsidR="00714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3CD5" w14:textId="68A49372" w:rsidR="003E2B9D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C4AE0">
        <w:rPr>
          <w:rFonts w:ascii="Times New Roman" w:hAnsi="Times New Roman" w:cs="Times New Roman"/>
          <w:sz w:val="24"/>
          <w:szCs w:val="24"/>
        </w:rPr>
        <w:t xml:space="preserve">a originalidade do tema </w:t>
      </w:r>
      <w:r w:rsidR="005349F0">
        <w:rPr>
          <w:rFonts w:ascii="Times New Roman" w:hAnsi="Times New Roman" w:cs="Times New Roman"/>
          <w:sz w:val="24"/>
          <w:szCs w:val="24"/>
        </w:rPr>
        <w:t>proposto pode dar início a uma nova linha de pesquisa</w:t>
      </w:r>
      <w:r w:rsidR="00285E78">
        <w:rPr>
          <w:rFonts w:ascii="Times New Roman" w:hAnsi="Times New Roman" w:cs="Times New Roman"/>
          <w:sz w:val="24"/>
          <w:szCs w:val="24"/>
        </w:rPr>
        <w:t xml:space="preserve"> nas frentes de sistemas nebulosos, modelos preditivos, análise de causalidade, economia comportamental e até mesmo de estudos regulatórios em mercado de capitais</w:t>
      </w:r>
      <w:r w:rsidR="007142AF">
        <w:rPr>
          <w:rFonts w:ascii="Times New Roman" w:hAnsi="Times New Roman" w:cs="Times New Roman"/>
          <w:sz w:val="24"/>
          <w:szCs w:val="24"/>
        </w:rPr>
        <w:t>.</w:t>
      </w:r>
    </w:p>
    <w:p w14:paraId="3F248216" w14:textId="77777777" w:rsidR="00C80BF4" w:rsidRPr="001A1E3F" w:rsidRDefault="00C80BF4" w:rsidP="001A1E3F">
      <w:pPr>
        <w:rPr>
          <w:rFonts w:ascii="Times New Roman" w:hAnsi="Times New Roman" w:cs="Times New Roman"/>
          <w:sz w:val="24"/>
          <w:szCs w:val="24"/>
        </w:rPr>
      </w:pPr>
    </w:p>
    <w:p w14:paraId="743B86D2" w14:textId="2A61157F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698263F4" w14:textId="77777777" w:rsidR="00CC64CC" w:rsidRDefault="00CC64CC" w:rsidP="00CC64CC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D612F" w14:textId="769F648C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PESQUISA</w:t>
      </w:r>
    </w:p>
    <w:p w14:paraId="5E2E2DFD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157E7" w14:textId="2520225B" w:rsidR="00C80BF4" w:rsidRDefault="00C80BF4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</w:t>
      </w:r>
      <w:r w:rsidR="00774402">
        <w:rPr>
          <w:rFonts w:ascii="Times New Roman" w:hAnsi="Times New Roman" w:cs="Times New Roman"/>
          <w:sz w:val="24"/>
          <w:szCs w:val="24"/>
        </w:rPr>
        <w:t xml:space="preserve">em métodos quantitativos. Mais especificamente, em análise de causalidade e sistemas </w:t>
      </w:r>
      <w:proofErr w:type="spellStart"/>
      <w:r w:rsidR="00774402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774402">
        <w:rPr>
          <w:rFonts w:ascii="Times New Roman" w:hAnsi="Times New Roman" w:cs="Times New Roman"/>
          <w:sz w:val="24"/>
          <w:szCs w:val="24"/>
        </w:rPr>
        <w:t>.</w:t>
      </w:r>
    </w:p>
    <w:p w14:paraId="7338AA32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64056" w14:textId="742A15A8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2EB">
        <w:rPr>
          <w:rFonts w:ascii="Times New Roman" w:hAnsi="Times New Roman" w:cs="Times New Roman"/>
          <w:b/>
          <w:bCs/>
          <w:sz w:val="24"/>
          <w:szCs w:val="24"/>
        </w:rPr>
        <w:t>ATIVOS E</w:t>
      </w:r>
      <w:r w:rsidR="00D74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TERMOS DE PESQUSIA</w:t>
      </w:r>
    </w:p>
    <w:p w14:paraId="235CD409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CFA5" w14:textId="7C460A60" w:rsidR="00C80BF4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período selecionado para a análise e construção do modelo foi de 01 de janeiro de 2021 a 31 de dezembro de 2021, agrupando os dados semanalmente de forma que seja possível utilizar os dados do ano completo mais recente.</w:t>
      </w:r>
    </w:p>
    <w:p w14:paraId="2608F39F" w14:textId="59711B74" w:rsidR="00D74254" w:rsidRDefault="00D74254" w:rsidP="00D74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ativo selecionado foi o BOVA11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Ibovespa Fundo de Índice por sua característica de utilizar o Índice Ibovespa como referência.</w:t>
      </w:r>
    </w:p>
    <w:p w14:paraId="2D8C771E" w14:textId="627D3A54" w:rsidR="00774402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termos de pesquisa inicialmente selecionados foram “</w:t>
      </w:r>
      <w:r w:rsidR="00D74254">
        <w:rPr>
          <w:rFonts w:ascii="Times New Roman" w:hAnsi="Times New Roman" w:cs="Times New Roman"/>
          <w:sz w:val="24"/>
          <w:szCs w:val="24"/>
        </w:rPr>
        <w:t>IBOVESPA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 xml:space="preserve"> o nome do índice;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74254">
        <w:rPr>
          <w:rFonts w:ascii="Times New Roman" w:hAnsi="Times New Roman" w:cs="Times New Roman"/>
          <w:sz w:val="24"/>
          <w:szCs w:val="24"/>
        </w:rPr>
        <w:t>IBOV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>, abreviação popular do índice;</w:t>
      </w:r>
      <w:r>
        <w:rPr>
          <w:rFonts w:ascii="Times New Roman" w:hAnsi="Times New Roman" w:cs="Times New Roman"/>
          <w:sz w:val="24"/>
          <w:szCs w:val="24"/>
        </w:rPr>
        <w:t xml:space="preserve"> e “BOVA11”</w:t>
      </w:r>
      <w:r w:rsidR="00D74254">
        <w:rPr>
          <w:rFonts w:ascii="Times New Roman" w:hAnsi="Times New Roman" w:cs="Times New Roman"/>
          <w:sz w:val="24"/>
          <w:szCs w:val="24"/>
        </w:rPr>
        <w:t>, nome do ETF que será utilizado como ativo.</w:t>
      </w:r>
    </w:p>
    <w:p w14:paraId="1AEA99D1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070B8" w14:textId="7DACD1AF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AQUISIÇÃO </w:t>
      </w:r>
      <w:r w:rsidR="00C80BF4">
        <w:rPr>
          <w:rFonts w:ascii="Times New Roman" w:hAnsi="Times New Roman" w:cs="Times New Roman"/>
          <w:b/>
          <w:bCs/>
          <w:sz w:val="24"/>
          <w:szCs w:val="24"/>
        </w:rPr>
        <w:t xml:space="preserve">E 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DOS DADOS</w:t>
      </w:r>
    </w:p>
    <w:p w14:paraId="419767B1" w14:textId="77777777" w:rsidR="001E3E3F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CBD0" w14:textId="77777777" w:rsidR="001E3E3F" w:rsidRPr="0041693C" w:rsidRDefault="001E3E3F" w:rsidP="006E0B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A princípio, o projeto será desenvolvido utilizando as linguagens Python e R para a coleta dos dados. O tratamento dos dados, análises </w:t>
      </w:r>
      <w:r>
        <w:rPr>
          <w:rFonts w:ascii="Times New Roman" w:hAnsi="Times New Roman" w:cs="Times New Roman"/>
          <w:sz w:val="24"/>
          <w:szCs w:val="24"/>
        </w:rPr>
        <w:t xml:space="preserve">exploratórias, descritivas e </w:t>
      </w:r>
      <w:r w:rsidRPr="0041693C">
        <w:rPr>
          <w:rFonts w:ascii="Times New Roman" w:hAnsi="Times New Roman" w:cs="Times New Roman"/>
          <w:sz w:val="24"/>
          <w:szCs w:val="24"/>
        </w:rPr>
        <w:t>gerais e modelo final serão desenvolvidos em Python.</w:t>
      </w:r>
    </w:p>
    <w:p w14:paraId="70A4D495" w14:textId="649E3D6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Os dados serão coletados de duas fontes distintas (Twitter e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) por meio de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(“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Application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Interface”). Para 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a coleta dos dados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pytrends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enquanto para o Twitter a coleta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tweepy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Serão coletadas informações sobre o volume de pesquisas relacionadas ao ativo escolhido e seu comportamento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no 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período de tempo </w:t>
      </w:r>
      <w:r w:rsidR="007432EB">
        <w:rPr>
          <w:rFonts w:ascii="Times New Roman" w:hAnsi="Times New Roman" w:cs="Times New Roman"/>
          <w:iCs/>
          <w:sz w:val="24"/>
          <w:szCs w:val="24"/>
        </w:rPr>
        <w:t>previamente definido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Como contingência, caso uma das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apresente instabilidade, a análise será feita somente com uma das fontes de dados. Em último caso, os dados serão coletados manualmente por meio da </w:t>
      </w:r>
      <w:r w:rsidR="007432EB">
        <w:rPr>
          <w:rFonts w:ascii="Times New Roman" w:hAnsi="Times New Roman" w:cs="Times New Roman"/>
          <w:iCs/>
          <w:sz w:val="24"/>
          <w:szCs w:val="24"/>
        </w:rPr>
        <w:t>interface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 do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7C5927" w14:textId="02DC0D8D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de volume de transações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e </w:t>
      </w:r>
      <w:r w:rsidRPr="0041693C">
        <w:rPr>
          <w:rFonts w:ascii="Times New Roman" w:hAnsi="Times New Roman" w:cs="Times New Roman"/>
          <w:iCs/>
          <w:sz w:val="24"/>
          <w:szCs w:val="24"/>
        </w:rPr>
        <w:t>volume de negociações serão coletados diretamente nas fontes disponibilizadas pela B3.</w:t>
      </w:r>
    </w:p>
    <w:p w14:paraId="4CA6B66E" w14:textId="1683D081" w:rsidR="00CC64CC" w:rsidRPr="00CC64CC" w:rsidRDefault="001E3E3F" w:rsidP="00CC64CC">
      <w:pPr>
        <w:spacing w:line="360" w:lineRule="auto"/>
        <w:ind w:left="426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Após esta etapa inicial,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será feita a transformação dos dados para séries temporais e </w:t>
      </w:r>
      <w:r w:rsidRPr="0041693C">
        <w:rPr>
          <w:rFonts w:ascii="Times New Roman" w:hAnsi="Times New Roman" w:cs="Times New Roman"/>
          <w:iCs/>
          <w:sz w:val="24"/>
          <w:szCs w:val="24"/>
        </w:rPr>
        <w:t>serão feitas análises a fim de se compreender o grau de correlação e de causalidade entre a quantidade de menções sobre um ativo na internet e a quantidade de transações em bolsa.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A princípio, o teste de causalidade de Granger é suficiente para os objetivos propostos.</w:t>
      </w:r>
    </w:p>
    <w:p w14:paraId="2729B868" w14:textId="00EA259A" w:rsidR="001A1E3F" w:rsidRDefault="001A1E3F" w:rsidP="00C80BF4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52B1" w14:textId="31B12A30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DA LÓGICA FUZZY</w:t>
      </w:r>
    </w:p>
    <w:p w14:paraId="2A28E383" w14:textId="77777777" w:rsidR="00AC370F" w:rsidRDefault="00AC370F" w:rsidP="00C80BF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2C6D9D7" w14:textId="609E0B6B" w:rsidR="001E3E3F" w:rsidRDefault="001E3E3F" w:rsidP="00AC370F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Nesta etapa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será desenvolvido um sistema lógico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que terá como saída a decisão de aumento, estabilidade ou queda do volume de negociações de acordo com a popularidade do ativo na internet.</w:t>
      </w:r>
    </w:p>
    <w:p w14:paraId="5C10A3F7" w14:textId="77777777" w:rsidR="00C220CB" w:rsidRDefault="00C220C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70C32" w14:textId="4D72BE29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FINAL</w:t>
      </w:r>
    </w:p>
    <w:p w14:paraId="45F5FAC5" w14:textId="17BD35DD" w:rsidR="00C80BF4" w:rsidRDefault="00AB49DD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final será desenvolvido em Python com o auxílio da biblioteca, bem como de bibliotecas auxiliares para extração, tratamento, modelagem e exploração de dados. Algumas etapas referentes às análises de correlação e causalidade serão desenvolvidas com o auxílio da linguagem R.</w:t>
      </w:r>
    </w:p>
    <w:p w14:paraId="50C81E4D" w14:textId="57413D3E" w:rsidR="00AB49DD" w:rsidRDefault="00257531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finalizar o modelo, o mesmo será exposto a testes e serão apresentadas métricas de avaliação a fim de se constatar suas capacidades preditivas.</w:t>
      </w:r>
    </w:p>
    <w:p w14:paraId="18B2BD82" w14:textId="77777777" w:rsidR="001E3E3F" w:rsidRPr="00C80BF4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A3DF" w14:textId="464FD802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001EB160" w14:textId="75C84C70" w:rsidR="00C80BF4" w:rsidRDefault="00C80BF4" w:rsidP="00C80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</w:t>
      </w:r>
    </w:p>
    <w:p w14:paraId="20294F8A" w14:textId="77777777" w:rsidR="006C17FB" w:rsidRPr="00C80BF4" w:rsidRDefault="006C17FB" w:rsidP="00C80BF4">
      <w:pPr>
        <w:rPr>
          <w:rFonts w:ascii="Times New Roman" w:hAnsi="Times New Roman" w:cs="Times New Roman"/>
          <w:sz w:val="24"/>
          <w:szCs w:val="24"/>
        </w:rPr>
      </w:pPr>
    </w:p>
    <w:p w14:paraId="4A71AC0C" w14:textId="6EDBCCD1" w:rsidR="008E0457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t>REVISÃO BIBLIOGRÁFICA</w:t>
      </w:r>
    </w:p>
    <w:p w14:paraId="712AE9CD" w14:textId="77777777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768AD6" w14:textId="02E047B0" w:rsidR="003736AC" w:rsidRPr="00F109E1" w:rsidRDefault="003736AC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B3. </w:t>
      </w:r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 DESCOBERTA DA BOLSA PELO INVESTIDOR BRASILEIRO</w:t>
      </w: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2020. Disponível em: https://www.b3.com.br/pt_br/market-data-e-indices/servicos-de-dados/market-data/consultas/mercado-a-vista/perfil-pessoas-fisicas/perfil-pessoa-fisica/. Acesso em: 18 set. 2022.</w:t>
      </w:r>
    </w:p>
    <w:p w14:paraId="57D8F966" w14:textId="35131CE8" w:rsidR="008B6811" w:rsidRPr="00F109E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DEQUECH, David.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Expectations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Confidence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under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Uncertainty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Keynesian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Economics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[S.L.], v. 21, n. 3, p. 415-430, mar. 1999. Informa UK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Limited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http://dx.doi.org/10.1080/01603477.1999.11490205.</w:t>
      </w:r>
    </w:p>
    <w:p w14:paraId="5F821292" w14:textId="783B5731" w:rsidR="008B681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</w:rPr>
        <w:t xml:space="preserve">KEYNES, J. M. (1936). </w:t>
      </w:r>
      <w:r w:rsidRPr="00F109E1">
        <w:rPr>
          <w:rFonts w:ascii="Times New Roman" w:hAnsi="Times New Roman" w:cs="Times New Roman"/>
          <w:b/>
          <w:bCs/>
          <w:sz w:val="24"/>
          <w:szCs w:val="24"/>
        </w:rPr>
        <w:t>A Teoria Geral dos Juros, do Emprego e da Moeda</w:t>
      </w:r>
      <w:r w:rsidRPr="00F109E1">
        <w:rPr>
          <w:rFonts w:ascii="Times New Roman" w:hAnsi="Times New Roman" w:cs="Times New Roman"/>
          <w:sz w:val="24"/>
          <w:szCs w:val="24"/>
        </w:rPr>
        <w:t>. São Paulo: abril, 1983.</w:t>
      </w:r>
    </w:p>
    <w:p w14:paraId="178CDAA7" w14:textId="11AD0938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766F0" w14:textId="77777777" w:rsidR="00F109E1" w:rsidRP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3856" w14:textId="7C02EB31" w:rsidR="00722643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A6713" w14:textId="69BE2BAE" w:rsidR="00F109E1" w:rsidRPr="00F109E1" w:rsidRDefault="00F109E1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rStyle w:val="Forte"/>
          <w:shd w:val="clear" w:color="auto" w:fill="FFFFFF"/>
        </w:rPr>
        <w:lastRenderedPageBreak/>
        <w:t>AUXILIAR</w:t>
      </w:r>
    </w:p>
    <w:p w14:paraId="1F242AFC" w14:textId="25334F00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B3. </w:t>
      </w:r>
      <w:r w:rsidRPr="00F109E1">
        <w:rPr>
          <w:rStyle w:val="Forte"/>
          <w:sz w:val="23"/>
          <w:szCs w:val="23"/>
        </w:rPr>
        <w:t>Histórico de pessoas físicas</w:t>
      </w:r>
      <w:r w:rsidRPr="00F109E1">
        <w:rPr>
          <w:sz w:val="23"/>
          <w:szCs w:val="23"/>
        </w:rPr>
        <w:t>. Disponível em: &lt;http://www.b3.com.br/pt_br/market-data-e-indices/servicos-de-dados/market-data/consultas/mercado-a-vista/historico-pessoas-fisicas/&gt;. Acesso em: 17 set. 2020.</w:t>
      </w:r>
    </w:p>
    <w:p w14:paraId="4991CBC1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HENTSCHEL, Martin; ALONSO, Omar. </w:t>
      </w:r>
      <w:r w:rsidRPr="00F109E1">
        <w:rPr>
          <w:rStyle w:val="Forte"/>
          <w:sz w:val="23"/>
          <w:szCs w:val="23"/>
        </w:rPr>
        <w:t xml:space="preserve">Follow </w:t>
      </w:r>
      <w:proofErr w:type="spellStart"/>
      <w:r w:rsidRPr="00F109E1">
        <w:rPr>
          <w:rStyle w:val="Forte"/>
          <w:sz w:val="23"/>
          <w:szCs w:val="23"/>
        </w:rPr>
        <w:t>the</w:t>
      </w:r>
      <w:proofErr w:type="spellEnd"/>
      <w:r w:rsidRPr="00F109E1">
        <w:rPr>
          <w:rStyle w:val="Forte"/>
          <w:sz w:val="23"/>
          <w:szCs w:val="23"/>
        </w:rPr>
        <w:t xml:space="preserve"> </w:t>
      </w:r>
      <w:proofErr w:type="spellStart"/>
      <w:r w:rsidRPr="00F109E1">
        <w:rPr>
          <w:rStyle w:val="Forte"/>
          <w:sz w:val="23"/>
          <w:szCs w:val="23"/>
        </w:rPr>
        <w:t>money</w:t>
      </w:r>
      <w:proofErr w:type="spellEnd"/>
      <w:r w:rsidRPr="00F109E1">
        <w:rPr>
          <w:rStyle w:val="Forte"/>
          <w:sz w:val="23"/>
          <w:szCs w:val="23"/>
        </w:rPr>
        <w:t>:</w:t>
      </w:r>
      <w:r w:rsidRPr="00F109E1">
        <w:rPr>
          <w:sz w:val="23"/>
          <w:szCs w:val="23"/>
        </w:rPr>
        <w:t xml:space="preserve"> A </w:t>
      </w:r>
      <w:proofErr w:type="spellStart"/>
      <w:r w:rsidRPr="00F109E1">
        <w:rPr>
          <w:sz w:val="23"/>
          <w:szCs w:val="23"/>
        </w:rPr>
        <w:t>study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of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cashtags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on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twitter</w:t>
      </w:r>
      <w:proofErr w:type="spellEnd"/>
      <w:r w:rsidRPr="00F109E1">
        <w:rPr>
          <w:sz w:val="23"/>
          <w:szCs w:val="23"/>
        </w:rPr>
        <w:t xml:space="preserve">. </w:t>
      </w:r>
      <w:proofErr w:type="spellStart"/>
      <w:r w:rsidRPr="00F109E1">
        <w:rPr>
          <w:sz w:val="23"/>
          <w:szCs w:val="23"/>
        </w:rPr>
        <w:t>First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Monday</w:t>
      </w:r>
      <w:proofErr w:type="spellEnd"/>
      <w:r w:rsidRPr="00F109E1">
        <w:rPr>
          <w:sz w:val="23"/>
          <w:szCs w:val="23"/>
        </w:rPr>
        <w:t>. Chicago, maio 2014. Disponível em: &lt;https://firstmonday.org/ojs/index.php/fm/article/view/5385/4109&gt;. Acesso em: 17 set. 2020.</w:t>
      </w:r>
    </w:p>
    <w:p w14:paraId="79428C84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 Investe. </w:t>
      </w:r>
      <w:r w:rsidRPr="00F109E1">
        <w:rPr>
          <w:rStyle w:val="Forte"/>
          <w:sz w:val="23"/>
          <w:szCs w:val="23"/>
        </w:rPr>
        <w:t>O que os dados da B3 sobre pessoas físicas na bolsa revelam</w:t>
      </w:r>
      <w:r w:rsidRPr="00F109E1">
        <w:rPr>
          <w:sz w:val="23"/>
          <w:szCs w:val="23"/>
        </w:rPr>
        <w:t>. Disponível em: &lt;https://valorinveste.globo.com/blogs/fernando-torres/post/2020/05/o-que-os-dados-da-b3-sobre-pessoas-fisicas-na-bolsa-revelam.ghtml&gt;. Acesso em17 set. 2020.Seu Dinheiro. </w:t>
      </w:r>
      <w:r w:rsidRPr="00F109E1">
        <w:rPr>
          <w:rStyle w:val="Forte"/>
          <w:sz w:val="23"/>
          <w:szCs w:val="23"/>
        </w:rPr>
        <w:t>20% dos usuários do Twitter são investidores</w:t>
      </w:r>
      <w:r w:rsidRPr="00F109E1">
        <w:rPr>
          <w:sz w:val="23"/>
          <w:szCs w:val="23"/>
        </w:rPr>
        <w:t>. Disponível em: &lt;https://www.seudinheiro.com/2019/investimentos/20-dos-usuarios-do-twitter-sao-investidores-sera-este-o-perfil-do-fintwit/&gt;. Acesso em: 17 set. 2020.</w:t>
      </w:r>
    </w:p>
    <w:p w14:paraId="0915A941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Valor. </w:t>
      </w:r>
      <w:r w:rsidRPr="00F109E1">
        <w:rPr>
          <w:rStyle w:val="Forte"/>
          <w:sz w:val="23"/>
          <w:szCs w:val="23"/>
        </w:rPr>
        <w:t>Twitter contribui para inflar giro das ações</w:t>
      </w:r>
      <w:r w:rsidRPr="00F109E1">
        <w:rPr>
          <w:sz w:val="23"/>
          <w:szCs w:val="23"/>
        </w:rPr>
        <w:t>. Disponível em: &lt;https://valor.globo.com/financas/noticia/2020/08/11/twitter-contribui-para-inflar-giro-das-acoes.ghtml&gt;. Acesso em: 17 set. 2020.</w:t>
      </w:r>
    </w:p>
    <w:p w14:paraId="1705C099" w14:textId="77777777" w:rsidR="00722643" w:rsidRPr="009B394E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2643" w:rsidRPr="009B394E" w:rsidSect="0040597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4453A"/>
    <w:multiLevelType w:val="hybridMultilevel"/>
    <w:tmpl w:val="A00C603A"/>
    <w:lvl w:ilvl="0" w:tplc="E4F4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99C"/>
    <w:multiLevelType w:val="multilevel"/>
    <w:tmpl w:val="AE581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5062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B7664"/>
    <w:multiLevelType w:val="hybridMultilevel"/>
    <w:tmpl w:val="51E668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669147">
    <w:abstractNumId w:val="2"/>
  </w:num>
  <w:num w:numId="2" w16cid:durableId="1963882265">
    <w:abstractNumId w:val="3"/>
  </w:num>
  <w:num w:numId="3" w16cid:durableId="9063254">
    <w:abstractNumId w:val="1"/>
  </w:num>
  <w:num w:numId="4" w16cid:durableId="1264604635">
    <w:abstractNumId w:val="0"/>
  </w:num>
  <w:num w:numId="5" w16cid:durableId="62574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D"/>
    <w:rsid w:val="00060C89"/>
    <w:rsid w:val="00082C65"/>
    <w:rsid w:val="000E01A7"/>
    <w:rsid w:val="0011628F"/>
    <w:rsid w:val="0015640E"/>
    <w:rsid w:val="001825BF"/>
    <w:rsid w:val="0019366A"/>
    <w:rsid w:val="001A1E3F"/>
    <w:rsid w:val="001E3E3F"/>
    <w:rsid w:val="00231103"/>
    <w:rsid w:val="00257531"/>
    <w:rsid w:val="00275B9B"/>
    <w:rsid w:val="00285CB6"/>
    <w:rsid w:val="00285E78"/>
    <w:rsid w:val="0029586B"/>
    <w:rsid w:val="002A4592"/>
    <w:rsid w:val="002B2C1D"/>
    <w:rsid w:val="002D6C98"/>
    <w:rsid w:val="00300B25"/>
    <w:rsid w:val="00334B8E"/>
    <w:rsid w:val="00350FB5"/>
    <w:rsid w:val="003736AC"/>
    <w:rsid w:val="003E2B9D"/>
    <w:rsid w:val="0040597C"/>
    <w:rsid w:val="004122FA"/>
    <w:rsid w:val="00412ADB"/>
    <w:rsid w:val="0041693C"/>
    <w:rsid w:val="004473AE"/>
    <w:rsid w:val="00477E30"/>
    <w:rsid w:val="004946B5"/>
    <w:rsid w:val="004D5DC4"/>
    <w:rsid w:val="004F7DE1"/>
    <w:rsid w:val="005130EB"/>
    <w:rsid w:val="005349F0"/>
    <w:rsid w:val="00555736"/>
    <w:rsid w:val="00555EC7"/>
    <w:rsid w:val="00560243"/>
    <w:rsid w:val="005A6BE9"/>
    <w:rsid w:val="005B64DC"/>
    <w:rsid w:val="005B7E57"/>
    <w:rsid w:val="005C6808"/>
    <w:rsid w:val="00622A92"/>
    <w:rsid w:val="00623BDD"/>
    <w:rsid w:val="0064693A"/>
    <w:rsid w:val="00674469"/>
    <w:rsid w:val="006819F1"/>
    <w:rsid w:val="006A31E0"/>
    <w:rsid w:val="006C17FB"/>
    <w:rsid w:val="006D3563"/>
    <w:rsid w:val="006E0BDE"/>
    <w:rsid w:val="006E28B7"/>
    <w:rsid w:val="007142AF"/>
    <w:rsid w:val="00717611"/>
    <w:rsid w:val="00717938"/>
    <w:rsid w:val="00722643"/>
    <w:rsid w:val="0072686A"/>
    <w:rsid w:val="00741E4D"/>
    <w:rsid w:val="007432EB"/>
    <w:rsid w:val="00747F80"/>
    <w:rsid w:val="00756A53"/>
    <w:rsid w:val="007608B4"/>
    <w:rsid w:val="00774402"/>
    <w:rsid w:val="00782F54"/>
    <w:rsid w:val="00795E50"/>
    <w:rsid w:val="007C0FEC"/>
    <w:rsid w:val="007C4AE0"/>
    <w:rsid w:val="007F4C1A"/>
    <w:rsid w:val="00802743"/>
    <w:rsid w:val="00803D93"/>
    <w:rsid w:val="008961A0"/>
    <w:rsid w:val="008B6811"/>
    <w:rsid w:val="008E0457"/>
    <w:rsid w:val="00936EBC"/>
    <w:rsid w:val="00986987"/>
    <w:rsid w:val="00997621"/>
    <w:rsid w:val="009B394E"/>
    <w:rsid w:val="009B7B8A"/>
    <w:rsid w:val="009C38E5"/>
    <w:rsid w:val="00A06279"/>
    <w:rsid w:val="00A13217"/>
    <w:rsid w:val="00A2130A"/>
    <w:rsid w:val="00A8124D"/>
    <w:rsid w:val="00A9164F"/>
    <w:rsid w:val="00AA7643"/>
    <w:rsid w:val="00AB49DD"/>
    <w:rsid w:val="00AC05EE"/>
    <w:rsid w:val="00AC370F"/>
    <w:rsid w:val="00B0340A"/>
    <w:rsid w:val="00B1436C"/>
    <w:rsid w:val="00B331E4"/>
    <w:rsid w:val="00B44470"/>
    <w:rsid w:val="00B520A4"/>
    <w:rsid w:val="00B7285A"/>
    <w:rsid w:val="00B93368"/>
    <w:rsid w:val="00BC13B9"/>
    <w:rsid w:val="00C220CB"/>
    <w:rsid w:val="00C350F3"/>
    <w:rsid w:val="00C42A42"/>
    <w:rsid w:val="00C508A6"/>
    <w:rsid w:val="00C80BF4"/>
    <w:rsid w:val="00CA5749"/>
    <w:rsid w:val="00CC5A78"/>
    <w:rsid w:val="00CC64CC"/>
    <w:rsid w:val="00D0300F"/>
    <w:rsid w:val="00D55FEF"/>
    <w:rsid w:val="00D56F56"/>
    <w:rsid w:val="00D6544E"/>
    <w:rsid w:val="00D704A3"/>
    <w:rsid w:val="00D72CED"/>
    <w:rsid w:val="00D74254"/>
    <w:rsid w:val="00DB49E0"/>
    <w:rsid w:val="00DB55EF"/>
    <w:rsid w:val="00DC26DE"/>
    <w:rsid w:val="00E72D3C"/>
    <w:rsid w:val="00ED1F0D"/>
    <w:rsid w:val="00ED5284"/>
    <w:rsid w:val="00F109E1"/>
    <w:rsid w:val="00F13812"/>
    <w:rsid w:val="00F22EEB"/>
    <w:rsid w:val="00F40FFD"/>
    <w:rsid w:val="00F604B4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343E"/>
  <w15:chartTrackingRefBased/>
  <w15:docId w15:val="{665602DB-C78B-42A6-9962-2AAC48C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A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C5A7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5A7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C5A7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E28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D4CC-A62E-46A5-BCF5-D828AA48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1702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95</cp:revision>
  <dcterms:created xsi:type="dcterms:W3CDTF">2022-09-15T22:07:00Z</dcterms:created>
  <dcterms:modified xsi:type="dcterms:W3CDTF">2022-10-23T00:56:00Z</dcterms:modified>
</cp:coreProperties>
</file>