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14974" w14:textId="77777777" w:rsidR="007D44A2" w:rsidRDefault="002E0023">
      <w:pPr>
        <w:jc w:val="center"/>
      </w:pPr>
      <w:r>
        <w:rPr>
          <w:b/>
          <w:sz w:val="56"/>
        </w:rPr>
        <w:t>Tailwind Traders Azure Governance Solution</w:t>
      </w:r>
    </w:p>
    <w:p w14:paraId="388BB2F8" w14:textId="77777777" w:rsidR="007D44A2" w:rsidRDefault="002E0023">
      <w:r>
        <w:br w:type="page"/>
      </w:r>
    </w:p>
    <w:p w14:paraId="625DA70A" w14:textId="77777777" w:rsidR="007D44A2" w:rsidRDefault="002E0023">
      <w:r>
        <w:rPr>
          <w:b/>
          <w:sz w:val="40"/>
        </w:rPr>
        <w:lastRenderedPageBreak/>
        <w:t>Index</w:t>
      </w:r>
    </w:p>
    <w:p w14:paraId="3DDE0765" w14:textId="77777777" w:rsidR="007D44A2" w:rsidRDefault="002E0023">
      <w:hyperlink w:anchor="Executive_Summary">
        <w:r>
          <w:rPr>
            <w:color w:val="0563C1"/>
            <w:u w:val="single"/>
          </w:rPr>
          <w:t>Executive Summary</w:t>
        </w:r>
      </w:hyperlink>
    </w:p>
    <w:p w14:paraId="09CE8297" w14:textId="77777777" w:rsidR="007D44A2" w:rsidRDefault="002E0023">
      <w:hyperlink w:anchor="Part1">
        <w:r>
          <w:rPr>
            <w:color w:val="0563C1"/>
            <w:u w:val="single"/>
          </w:rPr>
          <w:t>Part 1: Cost and Accounting – Subscription and Management Group Strategy</w:t>
        </w:r>
      </w:hyperlink>
    </w:p>
    <w:p w14:paraId="5274869D" w14:textId="77777777" w:rsidR="007D44A2" w:rsidRDefault="002E0023">
      <w:hyperlink w:anchor="Alt1">
        <w:r>
          <w:rPr>
            <w:color w:val="0563C1"/>
            <w:u w:val="single"/>
          </w:rPr>
          <w:t>Alternative Hierarchy 1: Department-Centric Model</w:t>
        </w:r>
      </w:hyperlink>
    </w:p>
    <w:p w14:paraId="5B5D11DF" w14:textId="77777777" w:rsidR="007D44A2" w:rsidRDefault="002E0023">
      <w:hyperlink w:anchor="Alt2">
        <w:r>
          <w:rPr>
            <w:color w:val="0563C1"/>
            <w:u w:val="single"/>
          </w:rPr>
          <w:t>Alternative Hierarchy 2: Business Unit-Centric Model with Shared Services</w:t>
        </w:r>
      </w:hyperlink>
    </w:p>
    <w:p w14:paraId="1C8373E0" w14:textId="77777777" w:rsidR="007D44A2" w:rsidRDefault="002E0023">
      <w:hyperlink w:anchor="Reco">
        <w:r>
          <w:rPr>
            <w:color w:val="0563C1"/>
            <w:u w:val="single"/>
          </w:rPr>
          <w:t>Recommendation: Hybrid Approach – Alternative 2 with Enhancements</w:t>
        </w:r>
      </w:hyperlink>
    </w:p>
    <w:p w14:paraId="7A01265F" w14:textId="77777777" w:rsidR="007D44A2" w:rsidRDefault="002E0023">
      <w:hyperlink w:anchor="PolicyAssign">
        <w:r>
          <w:rPr>
            <w:color w:val="0563C1"/>
            <w:u w:val="single"/>
          </w:rPr>
          <w:t>Management Group Policy Assignments</w:t>
        </w:r>
      </w:hyperlink>
    </w:p>
    <w:p w14:paraId="192A0E17" w14:textId="77777777" w:rsidR="007D44A2" w:rsidRDefault="002E0023">
      <w:hyperlink w:anchor="Part2">
        <w:r>
          <w:rPr>
            <w:color w:val="0563C1"/>
            <w:u w:val="single"/>
          </w:rPr>
          <w:t>Part 2: New Development Project – Customer Feedback Initiative</w:t>
        </w:r>
      </w:hyperlink>
    </w:p>
    <w:p w14:paraId="7D6B3A54" w14:textId="77777777" w:rsidR="007D44A2" w:rsidRDefault="002E0023">
      <w:hyperlink w:anchor="Roadmap">
        <w:r>
          <w:rPr>
            <w:color w:val="0563C1"/>
            <w:u w:val="single"/>
          </w:rPr>
          <w:t>Implementation Roadmap</w:t>
        </w:r>
      </w:hyperlink>
    </w:p>
    <w:p w14:paraId="15A9AEA4" w14:textId="77777777" w:rsidR="007D44A2" w:rsidRDefault="002E0023">
      <w:hyperlink w:anchor="KPIs">
        <w:r>
          <w:rPr>
            <w:color w:val="0563C1"/>
            <w:u w:val="single"/>
          </w:rPr>
          <w:t>Key Performance Indicators (KPIs)</w:t>
        </w:r>
      </w:hyperlink>
    </w:p>
    <w:p w14:paraId="299D8273" w14:textId="77777777" w:rsidR="007D44A2" w:rsidRDefault="002E0023">
      <w:hyperlink w:anchor="Conclusion">
        <w:r>
          <w:rPr>
            <w:color w:val="0563C1"/>
            <w:u w:val="single"/>
          </w:rPr>
          <w:t>Conclusion</w:t>
        </w:r>
      </w:hyperlink>
    </w:p>
    <w:p w14:paraId="1AA24A73" w14:textId="77777777" w:rsidR="007D44A2" w:rsidRDefault="002E0023">
      <w:r>
        <w:rPr>
          <w:b/>
        </w:rPr>
        <w:t>Table of Contents (auto-updating)</w:t>
      </w:r>
    </w:p>
    <w:p w14:paraId="5F0EDAFE" w14:textId="77777777" w:rsidR="007D44A2" w:rsidRDefault="002E0023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57F42B79" w14:textId="77777777" w:rsidR="007D44A2" w:rsidRDefault="002E0023">
      <w:r>
        <w:br w:type="page"/>
      </w:r>
    </w:p>
    <w:p w14:paraId="4D349BB2" w14:textId="77777777" w:rsidR="007D44A2" w:rsidRDefault="002E0023">
      <w:pPr>
        <w:pStyle w:val="Heading1"/>
      </w:pPr>
      <w:bookmarkStart w:id="0" w:name="Executive_Summary"/>
      <w:r>
        <w:lastRenderedPageBreak/>
        <w:t>Executive Summary</w:t>
      </w:r>
      <w:bookmarkEnd w:id="0"/>
    </w:p>
    <w:p w14:paraId="7645D43A" w14:textId="77777777" w:rsidR="007D44A2" w:rsidRDefault="002E0023">
      <w:r>
        <w:t>This document provides a comprehensive governance framework for Tailwind Traders to optimize Azure cost management, implement effective organizational structures, and ensure compliance for new development projects. The solution addresses two primary concerns: cost and accounting across business units and departments, and governance controls for the new customer feedback development project.</w:t>
      </w:r>
    </w:p>
    <w:p w14:paraId="6FEBA9BB" w14:textId="77777777" w:rsidR="007D44A2" w:rsidRDefault="002E0023">
      <w:pPr>
        <w:pStyle w:val="Heading1"/>
      </w:pPr>
      <w:bookmarkStart w:id="1" w:name="Part1"/>
      <w:r>
        <w:t>Part 1: Cost and Accounting – Subscription and Management Group Strategy</w:t>
      </w:r>
      <w:bookmarkEnd w:id="1"/>
    </w:p>
    <w:p w14:paraId="58C42AA8" w14:textId="30ECF621" w:rsidR="00D8397D" w:rsidRPr="00D8397D" w:rsidRDefault="00D8397D" w:rsidP="00D8397D">
      <w:pPr>
        <w:pStyle w:val="Heading2"/>
      </w:pPr>
      <w:r w:rsidRPr="00D8397D">
        <w:t>Business Context</w:t>
      </w:r>
    </w:p>
    <w:p w14:paraId="78A54B57" w14:textId="16329C2F" w:rsidR="00D8397D" w:rsidRPr="00F53410" w:rsidRDefault="00D8397D" w:rsidP="00D8397D">
      <w:pPr>
        <w:pStyle w:val="PlainText"/>
        <w:rPr>
          <w:rFonts w:ascii="Courier New" w:hAnsi="Courier New" w:cs="Courier New"/>
        </w:rPr>
      </w:pPr>
      <w:r w:rsidRPr="00D8397D">
        <w:rPr>
          <w:rFonts w:ascii="Courier New" w:hAnsi="Courier New" w:cs="Courier New"/>
          <w:b/>
          <w:bCs/>
        </w:rPr>
        <w:t>Organization Structure:</w:t>
      </w:r>
      <w:r w:rsidRPr="00F53410">
        <w:rPr>
          <w:rFonts w:ascii="Courier New" w:hAnsi="Courier New" w:cs="Courier New"/>
        </w:rPr>
        <w:t xml:space="preserve"> 2 Business Units (Apparel, Sporting Goods) with 3 departments each (Product Development, Marketing, Sales)</w:t>
      </w:r>
    </w:p>
    <w:p w14:paraId="7848406A" w14:textId="70ACF3F4" w:rsidR="00D8397D" w:rsidRPr="00F53410" w:rsidRDefault="00D8397D" w:rsidP="00D8397D">
      <w:pPr>
        <w:pStyle w:val="PlainText"/>
        <w:rPr>
          <w:rFonts w:ascii="Courier New" w:hAnsi="Courier New" w:cs="Courier New"/>
        </w:rPr>
      </w:pPr>
      <w:r w:rsidRPr="00D8397D">
        <w:rPr>
          <w:rFonts w:ascii="Courier New" w:hAnsi="Courier New" w:cs="Courier New"/>
          <w:b/>
          <w:bCs/>
        </w:rPr>
        <w:t>Stakeholders:</w:t>
      </w:r>
      <w:r w:rsidRPr="00F53410">
        <w:rPr>
          <w:rFonts w:ascii="Courier New" w:hAnsi="Courier New" w:cs="Courier New"/>
        </w:rPr>
        <w:t xml:space="preserve"> Business unit leaders, department heads, Enterprise IT team, CFO</w:t>
      </w:r>
    </w:p>
    <w:p w14:paraId="06DC0D6F" w14:textId="1ED4401A" w:rsidR="00D8397D" w:rsidRPr="00F53410" w:rsidRDefault="00D8397D" w:rsidP="00D8397D">
      <w:pPr>
        <w:pStyle w:val="PlainText"/>
        <w:rPr>
          <w:rFonts w:ascii="Courier New" w:hAnsi="Courier New" w:cs="Courier New"/>
        </w:rPr>
      </w:pPr>
      <w:r w:rsidRPr="00D8397D">
        <w:rPr>
          <w:rFonts w:ascii="Courier New" w:hAnsi="Courier New" w:cs="Courier New"/>
          <w:b/>
          <w:bCs/>
        </w:rPr>
        <w:t>Goal:</w:t>
      </w:r>
      <w:r w:rsidRPr="00F53410">
        <w:rPr>
          <w:rFonts w:ascii="Courier New" w:hAnsi="Courier New" w:cs="Courier New"/>
        </w:rPr>
        <w:t xml:space="preserve"> Enable autonomous cost tracking at department level while maintaining enterprise-wide visibility</w:t>
      </w:r>
    </w:p>
    <w:p w14:paraId="1D296995" w14:textId="42FC1698" w:rsidR="00D8397D" w:rsidRPr="00D8397D" w:rsidRDefault="00D8397D" w:rsidP="00D8397D"/>
    <w:p w14:paraId="3EDB6418" w14:textId="77777777" w:rsidR="007D44A2" w:rsidRDefault="002E0023">
      <w:pPr>
        <w:pStyle w:val="Heading2"/>
      </w:pPr>
      <w:bookmarkStart w:id="2" w:name="Alt1"/>
      <w:r>
        <w:t>Alternative Hierarchy 1: Department-Centric Model</w:t>
      </w:r>
      <w:bookmarkEnd w:id="2"/>
    </w:p>
    <w:p w14:paraId="019BBB9F" w14:textId="77777777" w:rsidR="007D44A2" w:rsidRDefault="002E0023">
      <w:pPr>
        <w:pStyle w:val="Heading3"/>
      </w:pPr>
      <w:r>
        <w:t>Structure</w:t>
      </w:r>
    </w:p>
    <w:p w14:paraId="4E798081" w14:textId="77777777" w:rsidR="007D44A2" w:rsidRDefault="002E0023">
      <w:r>
        <w:rPr>
          <w:rFonts w:ascii="Courier New" w:hAnsi="Courier New"/>
          <w:sz w:val="20"/>
        </w:rPr>
        <w:t>Tenant Root (tailwind-traders)</w:t>
      </w:r>
      <w:r>
        <w:rPr>
          <w:rFonts w:ascii="Courier New" w:hAnsi="Courier New"/>
          <w:sz w:val="20"/>
        </w:rPr>
        <w:br/>
        <w:t>├── Billing Root Management Group</w:t>
      </w:r>
      <w:r>
        <w:rPr>
          <w:rFonts w:ascii="Courier New" w:hAnsi="Courier New"/>
          <w:sz w:val="20"/>
        </w:rPr>
        <w:br/>
        <w:t>│   ├── Apparel Business Unit MG</w:t>
      </w:r>
      <w:r>
        <w:rPr>
          <w:rFonts w:ascii="Courier New" w:hAnsi="Courier New"/>
          <w:sz w:val="20"/>
        </w:rPr>
        <w:br/>
        <w:t>│   │   ├── Apparel-ProductDev MG</w:t>
      </w:r>
      <w:r>
        <w:rPr>
          <w:rFonts w:ascii="Courier New" w:hAnsi="Courier New"/>
          <w:sz w:val="20"/>
        </w:rPr>
        <w:br/>
        <w:t>│   │   │   ├── Apparel-ProductDev-Prod (Subscription)</w:t>
      </w:r>
      <w:r>
        <w:rPr>
          <w:rFonts w:ascii="Courier New" w:hAnsi="Courier New"/>
          <w:sz w:val="20"/>
        </w:rPr>
        <w:br/>
        <w:t>│   │   │   └── Apparel-ProductDev-Dev (Subscription)</w:t>
      </w:r>
      <w:r>
        <w:rPr>
          <w:rFonts w:ascii="Courier New" w:hAnsi="Courier New"/>
          <w:sz w:val="20"/>
        </w:rPr>
        <w:br/>
        <w:t>│   │   ├── Apparel-Marketing MG</w:t>
      </w:r>
      <w:r>
        <w:rPr>
          <w:rFonts w:ascii="Courier New" w:hAnsi="Courier New"/>
          <w:sz w:val="20"/>
        </w:rPr>
        <w:br/>
        <w:t>│   │   │   ├── Apparel-Marketing-Prod (Subscription)</w:t>
      </w:r>
      <w:r>
        <w:rPr>
          <w:rFonts w:ascii="Courier New" w:hAnsi="Courier New"/>
          <w:sz w:val="20"/>
        </w:rPr>
        <w:br/>
        <w:t>│   │   │   └── Apparel-Marketing-Dev (Subscription)</w:t>
      </w:r>
      <w:r>
        <w:rPr>
          <w:rFonts w:ascii="Courier New" w:hAnsi="Courier New"/>
          <w:sz w:val="20"/>
        </w:rPr>
        <w:br/>
        <w:t>│   │   └── Apparel-Sales MG</w:t>
      </w:r>
      <w:r>
        <w:rPr>
          <w:rFonts w:ascii="Courier New" w:hAnsi="Courier New"/>
          <w:sz w:val="20"/>
        </w:rPr>
        <w:br/>
        <w:t>│   │       ├── Apparel-Sales-Prod (Subscription)</w:t>
      </w:r>
      <w:r>
        <w:rPr>
          <w:rFonts w:ascii="Courier New" w:hAnsi="Courier New"/>
          <w:sz w:val="20"/>
        </w:rPr>
        <w:br/>
        <w:t>│   │       └── Apparel-Sales-Dev (Subscription)</w:t>
      </w:r>
      <w:r>
        <w:rPr>
          <w:rFonts w:ascii="Courier New" w:hAnsi="Courier New"/>
          <w:sz w:val="20"/>
        </w:rPr>
        <w:br/>
        <w:t>│   └── SportingGoods Business Un</w:t>
      </w:r>
      <w:r>
        <w:rPr>
          <w:rFonts w:ascii="Courier New" w:hAnsi="Courier New"/>
          <w:sz w:val="20"/>
        </w:rPr>
        <w:t>it MG</w:t>
      </w:r>
      <w:r>
        <w:rPr>
          <w:rFonts w:ascii="Courier New" w:hAnsi="Courier New"/>
          <w:sz w:val="20"/>
        </w:rPr>
        <w:br/>
        <w:t>│       ├── SG-ProductDev MG</w:t>
      </w:r>
      <w:r>
        <w:rPr>
          <w:rFonts w:ascii="Courier New" w:hAnsi="Courier New"/>
          <w:sz w:val="20"/>
        </w:rPr>
        <w:br/>
        <w:t>│       │   ├── SG-ProductDev-Prod (Subscription)</w:t>
      </w:r>
      <w:r>
        <w:rPr>
          <w:rFonts w:ascii="Courier New" w:hAnsi="Courier New"/>
          <w:sz w:val="20"/>
        </w:rPr>
        <w:br/>
        <w:t>│       │   └── SG-ProductDev-Dev (Subscription)</w:t>
      </w:r>
      <w:r>
        <w:rPr>
          <w:rFonts w:ascii="Courier New" w:hAnsi="Courier New"/>
          <w:sz w:val="20"/>
        </w:rPr>
        <w:br/>
        <w:t>│       ├── SG-Marketing MG</w:t>
      </w:r>
      <w:r>
        <w:rPr>
          <w:rFonts w:ascii="Courier New" w:hAnsi="Courier New"/>
          <w:sz w:val="20"/>
        </w:rPr>
        <w:br/>
        <w:t>│       │   ├── SG-Marketing-Prod (Subscription)</w:t>
      </w:r>
      <w:r>
        <w:rPr>
          <w:rFonts w:ascii="Courier New" w:hAnsi="Courier New"/>
          <w:sz w:val="20"/>
        </w:rPr>
        <w:br/>
        <w:t>│       │   └── SG-Marketing-Dev (Subscription)</w:t>
      </w:r>
      <w:r>
        <w:rPr>
          <w:rFonts w:ascii="Courier New" w:hAnsi="Courier New"/>
          <w:sz w:val="20"/>
        </w:rPr>
        <w:br/>
        <w:t>│       └── SG-Sales MG</w:t>
      </w:r>
      <w:r>
        <w:rPr>
          <w:rFonts w:ascii="Courier New" w:hAnsi="Courier New"/>
          <w:sz w:val="20"/>
        </w:rPr>
        <w:br/>
        <w:t>│           ├── SG-Sales-Prod (Subscription)</w:t>
      </w:r>
      <w:r>
        <w:rPr>
          <w:rFonts w:ascii="Courier New" w:hAnsi="Courier New"/>
          <w:sz w:val="20"/>
        </w:rPr>
        <w:br/>
        <w:t>│           └── SG-Sales-Dev (Subscription)</w:t>
      </w:r>
    </w:p>
    <w:p w14:paraId="2643A21E" w14:textId="77777777" w:rsidR="007D44A2" w:rsidRDefault="002E0023">
      <w:pPr>
        <w:pStyle w:val="Heading3"/>
      </w:pPr>
      <w:r>
        <w:lastRenderedPageBreak/>
        <w:t>Characteristics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7D44A2" w14:paraId="2258EC53" w14:textId="77777777">
        <w:trPr>
          <w:jc w:val="center"/>
        </w:trPr>
        <w:tc>
          <w:tcPr>
            <w:tcW w:w="4320" w:type="dxa"/>
          </w:tcPr>
          <w:p w14:paraId="0BAF2242" w14:textId="77777777" w:rsidR="007D44A2" w:rsidRDefault="002E0023">
            <w:r>
              <w:t>Aspect</w:t>
            </w:r>
          </w:p>
        </w:tc>
        <w:tc>
          <w:tcPr>
            <w:tcW w:w="4320" w:type="dxa"/>
          </w:tcPr>
          <w:p w14:paraId="58C1EAC8" w14:textId="77777777" w:rsidR="007D44A2" w:rsidRDefault="002E0023">
            <w:r>
              <w:t>Details</w:t>
            </w:r>
          </w:p>
        </w:tc>
      </w:tr>
      <w:tr w:rsidR="007D44A2" w14:paraId="19653A90" w14:textId="77777777">
        <w:trPr>
          <w:jc w:val="center"/>
        </w:trPr>
        <w:tc>
          <w:tcPr>
            <w:tcW w:w="4320" w:type="dxa"/>
          </w:tcPr>
          <w:p w14:paraId="486EF4AF" w14:textId="77777777" w:rsidR="007D44A2" w:rsidRDefault="002E0023">
            <w:r>
              <w:t>Subscription Strategy</w:t>
            </w:r>
          </w:p>
        </w:tc>
        <w:tc>
          <w:tcPr>
            <w:tcW w:w="4320" w:type="dxa"/>
          </w:tcPr>
          <w:p w14:paraId="63ADB0D1" w14:textId="77777777" w:rsidR="007D44A2" w:rsidRDefault="002E0023">
            <w:r>
              <w:t>Separate subscriptions per department per environment (12 total)</w:t>
            </w:r>
          </w:p>
        </w:tc>
      </w:tr>
      <w:tr w:rsidR="007D44A2" w14:paraId="30E8A9C4" w14:textId="77777777">
        <w:trPr>
          <w:jc w:val="center"/>
        </w:trPr>
        <w:tc>
          <w:tcPr>
            <w:tcW w:w="4320" w:type="dxa"/>
          </w:tcPr>
          <w:p w14:paraId="5B846AB8" w14:textId="77777777" w:rsidR="007D44A2" w:rsidRDefault="002E0023">
            <w:r>
              <w:t>Cost Tracking</w:t>
            </w:r>
          </w:p>
        </w:tc>
        <w:tc>
          <w:tcPr>
            <w:tcW w:w="4320" w:type="dxa"/>
          </w:tcPr>
          <w:p w14:paraId="01FF0ED5" w14:textId="77777777" w:rsidR="007D44A2" w:rsidRDefault="002E0023">
            <w:r>
              <w:t>Department owns subscriptions; Enterprise IT aggregates for company-wide view</w:t>
            </w:r>
          </w:p>
        </w:tc>
      </w:tr>
      <w:tr w:rsidR="007D44A2" w14:paraId="07D8F62B" w14:textId="77777777">
        <w:trPr>
          <w:jc w:val="center"/>
        </w:trPr>
        <w:tc>
          <w:tcPr>
            <w:tcW w:w="4320" w:type="dxa"/>
          </w:tcPr>
          <w:p w14:paraId="68C59A5F" w14:textId="77777777" w:rsidR="007D44A2" w:rsidRDefault="002E0023">
            <w:r>
              <w:t>Governance Scope</w:t>
            </w:r>
          </w:p>
        </w:tc>
        <w:tc>
          <w:tcPr>
            <w:tcW w:w="4320" w:type="dxa"/>
          </w:tcPr>
          <w:p w14:paraId="7FC01B01" w14:textId="77777777" w:rsidR="007D44A2" w:rsidRDefault="002E0023">
            <w:r>
              <w:t>Policies applied at department level; shared policies at business unit level</w:t>
            </w:r>
          </w:p>
        </w:tc>
      </w:tr>
      <w:tr w:rsidR="007D44A2" w14:paraId="386F3AF2" w14:textId="77777777">
        <w:trPr>
          <w:jc w:val="center"/>
        </w:trPr>
        <w:tc>
          <w:tcPr>
            <w:tcW w:w="4320" w:type="dxa"/>
          </w:tcPr>
          <w:p w14:paraId="29688C64" w14:textId="77777777" w:rsidR="007D44A2" w:rsidRDefault="002E0023">
            <w:r>
              <w:t>RBAC</w:t>
            </w:r>
          </w:p>
        </w:tc>
        <w:tc>
          <w:tcPr>
            <w:tcW w:w="4320" w:type="dxa"/>
          </w:tcPr>
          <w:p w14:paraId="2ADE97B8" w14:textId="77777777" w:rsidR="007D44A2" w:rsidRDefault="002E0023">
            <w:r>
              <w:t>Department heads own their subscriptions; least privilege per team</w:t>
            </w:r>
          </w:p>
        </w:tc>
      </w:tr>
      <w:tr w:rsidR="007D44A2" w14:paraId="78EA178B" w14:textId="77777777">
        <w:trPr>
          <w:jc w:val="center"/>
        </w:trPr>
        <w:tc>
          <w:tcPr>
            <w:tcW w:w="4320" w:type="dxa"/>
          </w:tcPr>
          <w:p w14:paraId="1E352C3C" w14:textId="77777777" w:rsidR="007D44A2" w:rsidRDefault="002E0023">
            <w:r>
              <w:t>Scalability</w:t>
            </w:r>
          </w:p>
        </w:tc>
        <w:tc>
          <w:tcPr>
            <w:tcW w:w="4320" w:type="dxa"/>
          </w:tcPr>
          <w:p w14:paraId="78EEB6DC" w14:textId="77777777" w:rsidR="007D44A2" w:rsidRDefault="002E0023">
            <w:r>
              <w:t>Easy to add new departments; clear billing boundaries</w:t>
            </w:r>
          </w:p>
        </w:tc>
      </w:tr>
    </w:tbl>
    <w:p w14:paraId="479638FD" w14:textId="77777777" w:rsidR="007D44A2" w:rsidRDefault="002E0023">
      <w:pPr>
        <w:pStyle w:val="Heading4"/>
      </w:pPr>
      <w:r>
        <w:t>Advantages</w:t>
      </w:r>
    </w:p>
    <w:p w14:paraId="691527BC" w14:textId="77777777" w:rsidR="007D44A2" w:rsidRDefault="002E0023">
      <w:r>
        <w:t>• Clear ownership and visibility into departmental costs</w:t>
      </w:r>
    </w:p>
    <w:p w14:paraId="6BA251BA" w14:textId="77777777" w:rsidR="007D44A2" w:rsidRDefault="002E0023">
      <w:r>
        <w:t>• Granular billing; straightforward cost allocation</w:t>
      </w:r>
    </w:p>
    <w:p w14:paraId="4D264521" w14:textId="77777777" w:rsidR="007D44A2" w:rsidRDefault="002E0023">
      <w:r>
        <w:t>• Autonomous teams with defined budgets</w:t>
      </w:r>
    </w:p>
    <w:p w14:paraId="5036E6DE" w14:textId="77777777" w:rsidR="007D44A2" w:rsidRDefault="002E0023">
      <w:r>
        <w:t>• Easy business-unit rollup</w:t>
      </w:r>
    </w:p>
    <w:p w14:paraId="6543B15B" w14:textId="77777777" w:rsidR="007D44A2" w:rsidRDefault="002E0023">
      <w:r>
        <w:t>• Flexible, scalable policy application</w:t>
      </w:r>
    </w:p>
    <w:p w14:paraId="70F7E0AC" w14:textId="77777777" w:rsidR="007D44A2" w:rsidRDefault="002E0023">
      <w:pPr>
        <w:pStyle w:val="Heading4"/>
      </w:pPr>
      <w:r>
        <w:t>Disadvantages</w:t>
      </w:r>
    </w:p>
    <w:p w14:paraId="707326E9" w14:textId="77777777" w:rsidR="007D44A2" w:rsidRDefault="002E0023">
      <w:r>
        <w:t>• Higher management overhead with many subscriptions</w:t>
      </w:r>
    </w:p>
    <w:p w14:paraId="0CA89F60" w14:textId="77777777" w:rsidR="007D44A2" w:rsidRDefault="002E0023">
      <w:r>
        <w:t>• Risk of policy inconsistency across departments</w:t>
      </w:r>
    </w:p>
    <w:p w14:paraId="3BF6DA8D" w14:textId="77777777" w:rsidR="007D44A2" w:rsidRDefault="002E0023">
      <w:r>
        <w:t>• Administrative burden for cross-department resources</w:t>
      </w:r>
    </w:p>
    <w:p w14:paraId="082B214D" w14:textId="77777777" w:rsidR="007D44A2" w:rsidRDefault="002E0023">
      <w:r>
        <w:t>• Potential resource duplication across subscriptions</w:t>
      </w:r>
    </w:p>
    <w:p w14:paraId="79A944C9" w14:textId="77777777" w:rsidR="007D44A2" w:rsidRDefault="002E0023">
      <w:pPr>
        <w:pStyle w:val="Heading2"/>
      </w:pPr>
      <w:bookmarkStart w:id="3" w:name="Alt2"/>
      <w:r>
        <w:t>Alternative Hierarchy 2: Business Unit-Centric Model with Shared Services</w:t>
      </w:r>
      <w:bookmarkEnd w:id="3"/>
    </w:p>
    <w:p w14:paraId="6DC0CD9A" w14:textId="77777777" w:rsidR="007D44A2" w:rsidRDefault="002E0023">
      <w:pPr>
        <w:pStyle w:val="Heading3"/>
      </w:pPr>
      <w:r>
        <w:t>Structure</w:t>
      </w:r>
    </w:p>
    <w:p w14:paraId="189C6D15" w14:textId="77777777" w:rsidR="007D44A2" w:rsidRDefault="002E0023">
      <w:r>
        <w:rPr>
          <w:rFonts w:ascii="Courier New" w:hAnsi="Courier New"/>
          <w:sz w:val="20"/>
        </w:rPr>
        <w:t>Tenant Root (tailwind-traders)</w:t>
      </w:r>
      <w:r>
        <w:rPr>
          <w:rFonts w:ascii="Courier New" w:hAnsi="Courier New"/>
          <w:sz w:val="20"/>
        </w:rPr>
        <w:br/>
        <w:t>├── Enterprise Services MG</w:t>
      </w:r>
      <w:r>
        <w:rPr>
          <w:rFonts w:ascii="Courier New" w:hAnsi="Courier New"/>
          <w:sz w:val="20"/>
        </w:rPr>
        <w:br/>
        <w:t>│   ├── Shared-Infrastructure (Subscription)</w:t>
      </w:r>
      <w:r>
        <w:rPr>
          <w:rFonts w:ascii="Courier New" w:hAnsi="Courier New"/>
          <w:sz w:val="20"/>
        </w:rPr>
        <w:br/>
        <w:t>│   │   ├── Networking (vNets, VPNs, ExpressRoute)</w:t>
      </w:r>
      <w:r>
        <w:rPr>
          <w:rFonts w:ascii="Courier New" w:hAnsi="Courier New"/>
          <w:sz w:val="20"/>
        </w:rPr>
        <w:br/>
        <w:t>│   │   ├── Identity &amp; Access (Azure AD, PKI)</w:t>
      </w:r>
      <w:r>
        <w:rPr>
          <w:rFonts w:ascii="Courier New" w:hAnsi="Courier New"/>
          <w:sz w:val="20"/>
        </w:rPr>
        <w:br/>
        <w:t>│   │   └── Monitoring &amp; Security (Log Analytics, Sentinel)</w:t>
      </w:r>
      <w:r>
        <w:rPr>
          <w:rFonts w:ascii="Courier New" w:hAnsi="Courier New"/>
          <w:sz w:val="20"/>
        </w:rPr>
        <w:br/>
        <w:t>│   └── Enterprise-Governance (Subscription)</w:t>
      </w:r>
      <w:r>
        <w:rPr>
          <w:rFonts w:ascii="Courier New" w:hAnsi="Courier New"/>
          <w:sz w:val="20"/>
        </w:rPr>
        <w:br/>
        <w:t>│       ├── Policy Management</w:t>
      </w:r>
      <w:r>
        <w:rPr>
          <w:rFonts w:ascii="Courier New" w:hAnsi="Courier New"/>
          <w:sz w:val="20"/>
        </w:rPr>
        <w:br/>
        <w:t>│       ├── Cost Management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│       └── Compliance Monitoring</w:t>
      </w:r>
      <w:r>
        <w:rPr>
          <w:rFonts w:ascii="Courier New" w:hAnsi="Courier New"/>
          <w:sz w:val="20"/>
        </w:rPr>
        <w:br/>
        <w:t>├── Apparel Business Unit MG</w:t>
      </w:r>
      <w:r>
        <w:rPr>
          <w:rFonts w:ascii="Courier New" w:hAnsi="Courier New"/>
          <w:sz w:val="20"/>
        </w:rPr>
        <w:br/>
        <w:t>│   ├── Apparel-Core (Subscription - shared resources)</w:t>
      </w:r>
      <w:r>
        <w:rPr>
          <w:rFonts w:ascii="Courier New" w:hAnsi="Courier New"/>
          <w:sz w:val="20"/>
        </w:rPr>
        <w:br/>
        <w:t>│   │   ├── Department shared resources (storage, databases)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│   │   └── Common APIs and services</w:t>
      </w:r>
      <w:r>
        <w:rPr>
          <w:rFonts w:ascii="Courier New" w:hAnsi="Courier New"/>
          <w:sz w:val="20"/>
        </w:rPr>
        <w:br/>
        <w:t>│   └── Apparel-Workloads (Subscription - isolated workloads)</w:t>
      </w:r>
      <w:r>
        <w:rPr>
          <w:rFonts w:ascii="Courier New" w:hAnsi="Courier New"/>
          <w:sz w:val="20"/>
        </w:rPr>
        <w:br/>
        <w:t>│       ├── ProductDev workloads</w:t>
      </w:r>
      <w:r>
        <w:rPr>
          <w:rFonts w:ascii="Courier New" w:hAnsi="Courier New"/>
          <w:sz w:val="20"/>
        </w:rPr>
        <w:br/>
        <w:t>│       ├── Marketing workloads</w:t>
      </w:r>
      <w:r>
        <w:rPr>
          <w:rFonts w:ascii="Courier New" w:hAnsi="Courier New"/>
          <w:sz w:val="20"/>
        </w:rPr>
        <w:br/>
        <w:t>│       └── Sales workloads</w:t>
      </w:r>
      <w:r>
        <w:rPr>
          <w:rFonts w:ascii="Courier New" w:hAnsi="Courier New"/>
          <w:sz w:val="20"/>
        </w:rPr>
        <w:br/>
        <w:t>└── SportingGoods Business Unit MG</w:t>
      </w:r>
      <w:r>
        <w:rPr>
          <w:rFonts w:ascii="Courier New" w:hAnsi="Courier New"/>
          <w:sz w:val="20"/>
        </w:rPr>
        <w:br/>
        <w:t xml:space="preserve">    ├── SG-Core (Subscription - shared resources)</w:t>
      </w:r>
      <w:r>
        <w:rPr>
          <w:rFonts w:ascii="Courier New" w:hAnsi="Courier New"/>
          <w:sz w:val="20"/>
        </w:rPr>
        <w:br/>
        <w:t xml:space="preserve">    │   ├── Department shared resources</w:t>
      </w:r>
      <w:r>
        <w:rPr>
          <w:rFonts w:ascii="Courier New" w:hAnsi="Courier New"/>
          <w:sz w:val="20"/>
        </w:rPr>
        <w:br/>
        <w:t xml:space="preserve">    │   └── Common APIs and services</w:t>
      </w:r>
      <w:r>
        <w:rPr>
          <w:rFonts w:ascii="Courier New" w:hAnsi="Courier New"/>
          <w:sz w:val="20"/>
        </w:rPr>
        <w:br/>
        <w:t xml:space="preserve">    └── SG-Workloads (Subscription - isolated workloads)</w:t>
      </w:r>
      <w:r>
        <w:rPr>
          <w:rFonts w:ascii="Courier New" w:hAnsi="Courier New"/>
          <w:sz w:val="20"/>
        </w:rPr>
        <w:br/>
        <w:t xml:space="preserve">        ├── ProductDev workloads</w:t>
      </w:r>
      <w:r>
        <w:rPr>
          <w:rFonts w:ascii="Courier New" w:hAnsi="Courier New"/>
          <w:sz w:val="20"/>
        </w:rPr>
        <w:br/>
        <w:t xml:space="preserve">        ├── Marketing workloads</w:t>
      </w:r>
      <w:r>
        <w:rPr>
          <w:rFonts w:ascii="Courier New" w:hAnsi="Courier New"/>
          <w:sz w:val="20"/>
        </w:rPr>
        <w:br/>
        <w:t xml:space="preserve">        └── Sales workloads</w:t>
      </w:r>
    </w:p>
    <w:p w14:paraId="441173E7" w14:textId="77777777" w:rsidR="007D44A2" w:rsidRDefault="002E0023">
      <w:pPr>
        <w:pStyle w:val="Heading3"/>
      </w:pPr>
      <w:r>
        <w:t>Characteristics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7D44A2" w14:paraId="6B121311" w14:textId="77777777">
        <w:trPr>
          <w:jc w:val="center"/>
        </w:trPr>
        <w:tc>
          <w:tcPr>
            <w:tcW w:w="4320" w:type="dxa"/>
          </w:tcPr>
          <w:p w14:paraId="6C984460" w14:textId="77777777" w:rsidR="007D44A2" w:rsidRDefault="002E0023">
            <w:r>
              <w:t>Aspect</w:t>
            </w:r>
          </w:p>
        </w:tc>
        <w:tc>
          <w:tcPr>
            <w:tcW w:w="4320" w:type="dxa"/>
          </w:tcPr>
          <w:p w14:paraId="28840073" w14:textId="77777777" w:rsidR="007D44A2" w:rsidRDefault="002E0023">
            <w:r>
              <w:t>Details</w:t>
            </w:r>
          </w:p>
        </w:tc>
      </w:tr>
      <w:tr w:rsidR="007D44A2" w14:paraId="578270CA" w14:textId="77777777">
        <w:trPr>
          <w:jc w:val="center"/>
        </w:trPr>
        <w:tc>
          <w:tcPr>
            <w:tcW w:w="4320" w:type="dxa"/>
          </w:tcPr>
          <w:p w14:paraId="2F726478" w14:textId="77777777" w:rsidR="007D44A2" w:rsidRDefault="002E0023">
            <w:r>
              <w:t>Subscription Strategy</w:t>
            </w:r>
          </w:p>
        </w:tc>
        <w:tc>
          <w:tcPr>
            <w:tcW w:w="4320" w:type="dxa"/>
          </w:tcPr>
          <w:p w14:paraId="52851BA5" w14:textId="77777777" w:rsidR="007D44A2" w:rsidRDefault="002E0023">
            <w:r>
              <w:t>6 subscriptions: 1 Enterprise, and for each BU: Core + Workloads</w:t>
            </w:r>
          </w:p>
        </w:tc>
      </w:tr>
      <w:tr w:rsidR="007D44A2" w14:paraId="1C7BFF6D" w14:textId="77777777">
        <w:trPr>
          <w:jc w:val="center"/>
        </w:trPr>
        <w:tc>
          <w:tcPr>
            <w:tcW w:w="4320" w:type="dxa"/>
          </w:tcPr>
          <w:p w14:paraId="422DEC25" w14:textId="77777777" w:rsidR="007D44A2" w:rsidRDefault="002E0023">
            <w:r>
              <w:t>Cost Tracking</w:t>
            </w:r>
          </w:p>
        </w:tc>
        <w:tc>
          <w:tcPr>
            <w:tcW w:w="4320" w:type="dxa"/>
          </w:tcPr>
          <w:p w14:paraId="76C91D75" w14:textId="77777777" w:rsidR="007D44A2" w:rsidRDefault="002E0023">
            <w:r>
              <w:t>Tag-based allocation; business unit ownership with enterprise chargeback</w:t>
            </w:r>
          </w:p>
        </w:tc>
      </w:tr>
      <w:tr w:rsidR="007D44A2" w14:paraId="3027F48D" w14:textId="77777777">
        <w:trPr>
          <w:jc w:val="center"/>
        </w:trPr>
        <w:tc>
          <w:tcPr>
            <w:tcW w:w="4320" w:type="dxa"/>
          </w:tcPr>
          <w:p w14:paraId="5C02BE0E" w14:textId="77777777" w:rsidR="007D44A2" w:rsidRDefault="002E0023">
            <w:r>
              <w:t>Governance Scope</w:t>
            </w:r>
          </w:p>
        </w:tc>
        <w:tc>
          <w:tcPr>
            <w:tcW w:w="4320" w:type="dxa"/>
          </w:tcPr>
          <w:p w14:paraId="70420789" w14:textId="77777777" w:rsidR="007D44A2" w:rsidRDefault="002E0023">
            <w:r>
              <w:t>Unified policies at enterprise level; BU customization via tags</w:t>
            </w:r>
          </w:p>
        </w:tc>
      </w:tr>
      <w:tr w:rsidR="007D44A2" w14:paraId="18425A09" w14:textId="77777777">
        <w:trPr>
          <w:jc w:val="center"/>
        </w:trPr>
        <w:tc>
          <w:tcPr>
            <w:tcW w:w="4320" w:type="dxa"/>
          </w:tcPr>
          <w:p w14:paraId="07DDA0B7" w14:textId="77777777" w:rsidR="007D44A2" w:rsidRDefault="002E0023">
            <w:r>
              <w:t>RBAC</w:t>
            </w:r>
          </w:p>
        </w:tc>
        <w:tc>
          <w:tcPr>
            <w:tcW w:w="4320" w:type="dxa"/>
          </w:tcPr>
          <w:p w14:paraId="5C6B37A3" w14:textId="77777777" w:rsidR="007D44A2" w:rsidRDefault="002E0023">
            <w:r>
              <w:t>BU leads own core; department leads own workload resources</w:t>
            </w:r>
          </w:p>
        </w:tc>
      </w:tr>
      <w:tr w:rsidR="007D44A2" w14:paraId="4C01B6C2" w14:textId="77777777">
        <w:trPr>
          <w:jc w:val="center"/>
        </w:trPr>
        <w:tc>
          <w:tcPr>
            <w:tcW w:w="4320" w:type="dxa"/>
          </w:tcPr>
          <w:p w14:paraId="4484BB60" w14:textId="77777777" w:rsidR="007D44A2" w:rsidRDefault="002E0023">
            <w:r>
              <w:t>Resource Sharing</w:t>
            </w:r>
          </w:p>
        </w:tc>
        <w:tc>
          <w:tcPr>
            <w:tcW w:w="4320" w:type="dxa"/>
          </w:tcPr>
          <w:p w14:paraId="33151CE1" w14:textId="77777777" w:rsidR="007D44A2" w:rsidRDefault="002E0023">
            <w:r>
              <w:t>Centralized services reduce duplication; chargeback ensures transparency</w:t>
            </w:r>
          </w:p>
        </w:tc>
      </w:tr>
    </w:tbl>
    <w:p w14:paraId="78CD1434" w14:textId="77777777" w:rsidR="007D44A2" w:rsidRDefault="002E0023">
      <w:pPr>
        <w:pStyle w:val="Heading4"/>
      </w:pPr>
      <w:r>
        <w:t>Advantages</w:t>
      </w:r>
    </w:p>
    <w:p w14:paraId="6E8D0606" w14:textId="77777777" w:rsidR="007D44A2" w:rsidRDefault="002E0023">
      <w:r>
        <w:t>• Reduced subscription management overhead</w:t>
      </w:r>
    </w:p>
    <w:p w14:paraId="332D0D31" w14:textId="77777777" w:rsidR="007D44A2" w:rsidRDefault="002E0023">
      <w:r>
        <w:t>• Shared services eliminate duplication</w:t>
      </w:r>
    </w:p>
    <w:p w14:paraId="625FD1C3" w14:textId="77777777" w:rsidR="007D44A2" w:rsidRDefault="002E0023">
      <w:r>
        <w:t>• Cost optimization by amortizing shared infrastructure</w:t>
      </w:r>
    </w:p>
    <w:p w14:paraId="10FF1230" w14:textId="77777777" w:rsidR="007D44A2" w:rsidRDefault="002E0023">
      <w:r>
        <w:t>• Policy consistency across the organization</w:t>
      </w:r>
    </w:p>
    <w:p w14:paraId="246987F1" w14:textId="77777777" w:rsidR="007D44A2" w:rsidRDefault="002E0023">
      <w:r>
        <w:t>• Enterprise control of shared resources and compliance</w:t>
      </w:r>
    </w:p>
    <w:p w14:paraId="7F90ED7B" w14:textId="77777777" w:rsidR="007D44A2" w:rsidRDefault="002E0023">
      <w:r>
        <w:t>• Chargeback maintains accountability</w:t>
      </w:r>
    </w:p>
    <w:p w14:paraId="75F38C14" w14:textId="77777777" w:rsidR="007D44A2" w:rsidRDefault="002E0023">
      <w:pPr>
        <w:pStyle w:val="Heading4"/>
      </w:pPr>
      <w:r>
        <w:t>Disadvantages</w:t>
      </w:r>
    </w:p>
    <w:p w14:paraId="1B51D9F9" w14:textId="77777777" w:rsidR="007D44A2" w:rsidRDefault="002E0023">
      <w:r>
        <w:t>• Requires robust tagging and cost-allocation model</w:t>
      </w:r>
    </w:p>
    <w:p w14:paraId="2E23DEEE" w14:textId="77777777" w:rsidR="007D44A2" w:rsidRDefault="002E0023">
      <w:r>
        <w:t>• Shared services can introduce single points of failure</w:t>
      </w:r>
    </w:p>
    <w:p w14:paraId="312C1027" w14:textId="77777777" w:rsidR="007D44A2" w:rsidRDefault="002E0023">
      <w:r>
        <w:lastRenderedPageBreak/>
        <w:t>• Cross-team dependencies may impact velocity</w:t>
      </w:r>
    </w:p>
    <w:p w14:paraId="02746AC9" w14:textId="77777777" w:rsidR="007D44A2" w:rsidRDefault="002E0023">
      <w:r>
        <w:t>• Complex budget allocation methodology</w:t>
      </w:r>
    </w:p>
    <w:p w14:paraId="4731407D" w14:textId="77777777" w:rsidR="007D44A2" w:rsidRDefault="002E0023">
      <w:r>
        <w:t>• Higher initial setup complexity</w:t>
      </w:r>
    </w:p>
    <w:p w14:paraId="4783E057" w14:textId="77777777" w:rsidR="007D44A2" w:rsidRDefault="002E0023">
      <w:pPr>
        <w:pStyle w:val="Heading2"/>
      </w:pPr>
      <w:bookmarkStart w:id="4" w:name="Reco"/>
      <w:r>
        <w:t>Recommendation: Hybrid Approach – Alternative 2 with Enhancements</w:t>
      </w:r>
      <w:bookmarkEnd w:id="4"/>
    </w:p>
    <w:p w14:paraId="29424DC9" w14:textId="77777777" w:rsidR="007D44A2" w:rsidRDefault="002E0023">
      <w:r>
        <w:t>Adopt the Business Unit–Centric model with enterprise shared services to optimize cost, governance, and scalability, reinforced by strict tagging, chargeback, and centralized policy baselines.</w:t>
      </w:r>
    </w:p>
    <w:p w14:paraId="6FAEEC3D" w14:textId="77777777" w:rsidR="007D44A2" w:rsidRDefault="002E0023">
      <w:pPr>
        <w:pStyle w:val="Heading3"/>
      </w:pPr>
      <w:bookmarkStart w:id="5" w:name="PolicyAssign"/>
      <w:r>
        <w:t>Management Group Policy Assignments</w:t>
      </w:r>
      <w:bookmarkEnd w:id="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7D44A2" w14:paraId="781E9885" w14:textId="77777777">
        <w:trPr>
          <w:jc w:val="center"/>
        </w:trPr>
        <w:tc>
          <w:tcPr>
            <w:tcW w:w="2880" w:type="dxa"/>
          </w:tcPr>
          <w:p w14:paraId="24A9C04C" w14:textId="77777777" w:rsidR="007D44A2" w:rsidRDefault="002E0023">
            <w:r>
              <w:t>Policy</w:t>
            </w:r>
          </w:p>
        </w:tc>
        <w:tc>
          <w:tcPr>
            <w:tcW w:w="2880" w:type="dxa"/>
          </w:tcPr>
          <w:p w14:paraId="1F42D8E3" w14:textId="77777777" w:rsidR="007D44A2" w:rsidRDefault="002E0023">
            <w:r>
              <w:t>Level</w:t>
            </w:r>
          </w:p>
        </w:tc>
        <w:tc>
          <w:tcPr>
            <w:tcW w:w="2880" w:type="dxa"/>
          </w:tcPr>
          <w:p w14:paraId="6287358F" w14:textId="77777777" w:rsidR="007D44A2" w:rsidRDefault="002E0023">
            <w:r>
              <w:t>Purpose</w:t>
            </w:r>
          </w:p>
        </w:tc>
      </w:tr>
      <w:tr w:rsidR="007D44A2" w14:paraId="587BED1A" w14:textId="77777777">
        <w:trPr>
          <w:jc w:val="center"/>
        </w:trPr>
        <w:tc>
          <w:tcPr>
            <w:tcW w:w="2880" w:type="dxa"/>
          </w:tcPr>
          <w:p w14:paraId="48CE23E5" w14:textId="77777777" w:rsidR="007D44A2" w:rsidRDefault="002E0023">
            <w:r>
              <w:t>Enforce tagging</w:t>
            </w:r>
          </w:p>
        </w:tc>
        <w:tc>
          <w:tcPr>
            <w:tcW w:w="2880" w:type="dxa"/>
          </w:tcPr>
          <w:p w14:paraId="2743F284" w14:textId="77777777" w:rsidR="007D44A2" w:rsidRDefault="002E0023">
            <w:r>
              <w:t>Enterprise Services</w:t>
            </w:r>
          </w:p>
        </w:tc>
        <w:tc>
          <w:tcPr>
            <w:tcW w:w="2880" w:type="dxa"/>
          </w:tcPr>
          <w:p w14:paraId="74BB8220" w14:textId="77777777" w:rsidR="007D44A2" w:rsidRDefault="002E0023">
            <w:r>
              <w:t>All resources must have cost center tags</w:t>
            </w:r>
          </w:p>
        </w:tc>
      </w:tr>
      <w:tr w:rsidR="007D44A2" w14:paraId="40640D36" w14:textId="77777777">
        <w:trPr>
          <w:jc w:val="center"/>
        </w:trPr>
        <w:tc>
          <w:tcPr>
            <w:tcW w:w="2880" w:type="dxa"/>
          </w:tcPr>
          <w:p w14:paraId="2543D271" w14:textId="77777777" w:rsidR="007D44A2" w:rsidRDefault="002E0023">
            <w:r>
              <w:t>Require cost center tags</w:t>
            </w:r>
          </w:p>
        </w:tc>
        <w:tc>
          <w:tcPr>
            <w:tcW w:w="2880" w:type="dxa"/>
          </w:tcPr>
          <w:p w14:paraId="35ED0448" w14:textId="77777777" w:rsidR="007D44A2" w:rsidRDefault="002E0023">
            <w:r>
              <w:t>Business Unit MGs</w:t>
            </w:r>
          </w:p>
        </w:tc>
        <w:tc>
          <w:tcPr>
            <w:tcW w:w="2880" w:type="dxa"/>
          </w:tcPr>
          <w:p w14:paraId="60C9FFB8" w14:textId="77777777" w:rsidR="007D44A2" w:rsidRDefault="002E0023">
            <w:r>
              <w:t>Departmental accountability</w:t>
            </w:r>
          </w:p>
        </w:tc>
      </w:tr>
      <w:tr w:rsidR="007D44A2" w14:paraId="4EF8C264" w14:textId="77777777">
        <w:trPr>
          <w:jc w:val="center"/>
        </w:trPr>
        <w:tc>
          <w:tcPr>
            <w:tcW w:w="2880" w:type="dxa"/>
          </w:tcPr>
          <w:p w14:paraId="595BA283" w14:textId="77777777" w:rsidR="007D44A2" w:rsidRDefault="002E0023">
            <w:r>
              <w:t>SQL encryption</w:t>
            </w:r>
          </w:p>
        </w:tc>
        <w:tc>
          <w:tcPr>
            <w:tcW w:w="2880" w:type="dxa"/>
          </w:tcPr>
          <w:p w14:paraId="2B7669E3" w14:textId="77777777" w:rsidR="007D44A2" w:rsidRDefault="002E0023">
            <w:r>
              <w:t>Enterprise Services</w:t>
            </w:r>
          </w:p>
        </w:tc>
        <w:tc>
          <w:tcPr>
            <w:tcW w:w="2880" w:type="dxa"/>
          </w:tcPr>
          <w:p w14:paraId="78C8EB53" w14:textId="77777777" w:rsidR="007D44A2" w:rsidRDefault="002E0023">
            <w:r>
              <w:t>Security baseline</w:t>
            </w:r>
          </w:p>
        </w:tc>
      </w:tr>
      <w:tr w:rsidR="007D44A2" w14:paraId="61AA4AA2" w14:textId="77777777">
        <w:trPr>
          <w:jc w:val="center"/>
        </w:trPr>
        <w:tc>
          <w:tcPr>
            <w:tcW w:w="2880" w:type="dxa"/>
          </w:tcPr>
          <w:p w14:paraId="38465E41" w14:textId="77777777" w:rsidR="007D44A2" w:rsidRDefault="002E0023">
            <w:r>
              <w:t>Storage encryption</w:t>
            </w:r>
          </w:p>
        </w:tc>
        <w:tc>
          <w:tcPr>
            <w:tcW w:w="2880" w:type="dxa"/>
          </w:tcPr>
          <w:p w14:paraId="7E9ABAFA" w14:textId="77777777" w:rsidR="007D44A2" w:rsidRDefault="002E0023">
            <w:r>
              <w:t>Enterprise Services</w:t>
            </w:r>
          </w:p>
        </w:tc>
        <w:tc>
          <w:tcPr>
            <w:tcW w:w="2880" w:type="dxa"/>
          </w:tcPr>
          <w:p w14:paraId="11040115" w14:textId="77777777" w:rsidR="007D44A2" w:rsidRDefault="002E0023">
            <w:r>
              <w:t>Data protection baseline</w:t>
            </w:r>
          </w:p>
        </w:tc>
      </w:tr>
      <w:tr w:rsidR="007D44A2" w14:paraId="4915DAD8" w14:textId="77777777">
        <w:trPr>
          <w:jc w:val="center"/>
        </w:trPr>
        <w:tc>
          <w:tcPr>
            <w:tcW w:w="2880" w:type="dxa"/>
          </w:tcPr>
          <w:p w14:paraId="5CFE180B" w14:textId="77777777" w:rsidR="007D44A2" w:rsidRDefault="002E0023">
            <w:r>
              <w:t>Network security groups</w:t>
            </w:r>
          </w:p>
        </w:tc>
        <w:tc>
          <w:tcPr>
            <w:tcW w:w="2880" w:type="dxa"/>
          </w:tcPr>
          <w:p w14:paraId="1AED4D1E" w14:textId="77777777" w:rsidR="007D44A2" w:rsidRDefault="002E0023">
            <w:r>
              <w:t>Shared-Infrastructure</w:t>
            </w:r>
          </w:p>
        </w:tc>
        <w:tc>
          <w:tcPr>
            <w:tcW w:w="2880" w:type="dxa"/>
          </w:tcPr>
          <w:p w14:paraId="1CB439B0" w14:textId="77777777" w:rsidR="007D44A2" w:rsidRDefault="002E0023">
            <w:r>
              <w:t>Centralized network control</w:t>
            </w:r>
          </w:p>
        </w:tc>
      </w:tr>
      <w:tr w:rsidR="007D44A2" w14:paraId="1F8E8803" w14:textId="77777777">
        <w:trPr>
          <w:jc w:val="center"/>
        </w:trPr>
        <w:tc>
          <w:tcPr>
            <w:tcW w:w="2880" w:type="dxa"/>
          </w:tcPr>
          <w:p w14:paraId="66797C5D" w14:textId="77777777" w:rsidR="007D44A2" w:rsidRDefault="002E0023">
            <w:r>
              <w:t>Audit all</w:t>
            </w:r>
          </w:p>
        </w:tc>
        <w:tc>
          <w:tcPr>
            <w:tcW w:w="2880" w:type="dxa"/>
          </w:tcPr>
          <w:p w14:paraId="5DA4EB34" w14:textId="77777777" w:rsidR="007D44A2" w:rsidRDefault="002E0023">
            <w:r>
              <w:t>Enterprise Governance</w:t>
            </w:r>
          </w:p>
        </w:tc>
        <w:tc>
          <w:tcPr>
            <w:tcW w:w="2880" w:type="dxa"/>
          </w:tcPr>
          <w:p w14:paraId="1AE0078E" w14:textId="77777777" w:rsidR="007D44A2" w:rsidRDefault="002E0023">
            <w:r>
              <w:t>Compliance monitoring</w:t>
            </w:r>
          </w:p>
        </w:tc>
      </w:tr>
    </w:tbl>
    <w:p w14:paraId="3A04A21F" w14:textId="77777777" w:rsidR="007D44A2" w:rsidRDefault="002E0023">
      <w:pPr>
        <w:pStyle w:val="Heading1"/>
      </w:pPr>
      <w:bookmarkStart w:id="6" w:name="Part2"/>
      <w:r>
        <w:t>Part 2: New Development Project – Customer Feedback Initiative</w:t>
      </w:r>
      <w:bookmarkEnd w:id="6"/>
    </w:p>
    <w:p w14:paraId="5ECC6098" w14:textId="77777777" w:rsidR="007D44A2" w:rsidRDefault="002E0023">
      <w:r>
        <w:t>Use a dedicated project subscription (e.g., proj-customerfeedback-dev) to ensure 100% cost isolation and clarity for CFO reporting and ROI analysis. Enforce naming and VM SKU policies via Azure Policy and IaC.</w:t>
      </w:r>
    </w:p>
    <w:p w14:paraId="61A27F2F" w14:textId="77777777" w:rsidR="007D44A2" w:rsidRDefault="002E0023">
      <w:pPr>
        <w:pStyle w:val="Heading1"/>
      </w:pPr>
      <w:bookmarkStart w:id="7" w:name="Roadmap"/>
      <w:r>
        <w:t>Implementation Roadmap</w:t>
      </w:r>
      <w:bookmarkEnd w:id="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7D44A2" w14:paraId="2397ACB9" w14:textId="77777777">
        <w:trPr>
          <w:jc w:val="center"/>
        </w:trPr>
        <w:tc>
          <w:tcPr>
            <w:tcW w:w="2880" w:type="dxa"/>
          </w:tcPr>
          <w:p w14:paraId="31F6115B" w14:textId="77777777" w:rsidR="007D44A2" w:rsidRDefault="002E0023">
            <w:r>
              <w:t>Week</w:t>
            </w:r>
          </w:p>
        </w:tc>
        <w:tc>
          <w:tcPr>
            <w:tcW w:w="2880" w:type="dxa"/>
          </w:tcPr>
          <w:p w14:paraId="48049D62" w14:textId="77777777" w:rsidR="007D44A2" w:rsidRDefault="002E0023">
            <w:r>
              <w:t>Cost &amp; Accounting</w:t>
            </w:r>
          </w:p>
        </w:tc>
        <w:tc>
          <w:tcPr>
            <w:tcW w:w="2880" w:type="dxa"/>
          </w:tcPr>
          <w:p w14:paraId="7416A3D2" w14:textId="77777777" w:rsidR="007D44A2" w:rsidRDefault="002E0023">
            <w:r>
              <w:t>Customer Feedback Project</w:t>
            </w:r>
          </w:p>
        </w:tc>
      </w:tr>
      <w:tr w:rsidR="007D44A2" w14:paraId="46DFC651" w14:textId="77777777">
        <w:trPr>
          <w:jc w:val="center"/>
        </w:trPr>
        <w:tc>
          <w:tcPr>
            <w:tcW w:w="2880" w:type="dxa"/>
          </w:tcPr>
          <w:p w14:paraId="0CC9EB62" w14:textId="77777777" w:rsidR="007D44A2" w:rsidRDefault="002E0023">
            <w:r>
              <w:t>1</w:t>
            </w:r>
          </w:p>
        </w:tc>
        <w:tc>
          <w:tcPr>
            <w:tcW w:w="2880" w:type="dxa"/>
          </w:tcPr>
          <w:p w14:paraId="3957CE97" w14:textId="77777777" w:rsidR="007D44A2" w:rsidRDefault="002E0023">
            <w:r>
              <w:t>Design management groups; create subscriptions</w:t>
            </w:r>
          </w:p>
        </w:tc>
        <w:tc>
          <w:tcPr>
            <w:tcW w:w="2880" w:type="dxa"/>
          </w:tcPr>
          <w:p w14:paraId="789D5556" w14:textId="77777777" w:rsidR="007D44A2" w:rsidRDefault="002E0023">
            <w:r>
              <w:t>Define project scope; select ARM templates</w:t>
            </w:r>
          </w:p>
        </w:tc>
      </w:tr>
      <w:tr w:rsidR="007D44A2" w14:paraId="220295FF" w14:textId="77777777">
        <w:trPr>
          <w:jc w:val="center"/>
        </w:trPr>
        <w:tc>
          <w:tcPr>
            <w:tcW w:w="2880" w:type="dxa"/>
          </w:tcPr>
          <w:p w14:paraId="11C7F7DB" w14:textId="77777777" w:rsidR="007D44A2" w:rsidRDefault="002E0023">
            <w:r>
              <w:t>2</w:t>
            </w:r>
          </w:p>
        </w:tc>
        <w:tc>
          <w:tcPr>
            <w:tcW w:w="2880" w:type="dxa"/>
          </w:tcPr>
          <w:p w14:paraId="3F7C4BA6" w14:textId="77777777" w:rsidR="007D44A2" w:rsidRDefault="002E0023">
            <w:r>
              <w:t>Configure cost tracking tags; setup billing alerts</w:t>
            </w:r>
          </w:p>
        </w:tc>
        <w:tc>
          <w:tcPr>
            <w:tcW w:w="2880" w:type="dxa"/>
          </w:tcPr>
          <w:p w14:paraId="1E6EF6E6" w14:textId="77777777" w:rsidR="007D44A2" w:rsidRDefault="002E0023">
            <w:r>
              <w:t>Create Azure DevOps project; setup pipelines</w:t>
            </w:r>
          </w:p>
        </w:tc>
      </w:tr>
      <w:tr w:rsidR="007D44A2" w14:paraId="4939F111" w14:textId="77777777">
        <w:trPr>
          <w:jc w:val="center"/>
        </w:trPr>
        <w:tc>
          <w:tcPr>
            <w:tcW w:w="2880" w:type="dxa"/>
          </w:tcPr>
          <w:p w14:paraId="58411334" w14:textId="77777777" w:rsidR="007D44A2" w:rsidRDefault="002E0023">
            <w:r>
              <w:t>3</w:t>
            </w:r>
          </w:p>
        </w:tc>
        <w:tc>
          <w:tcPr>
            <w:tcW w:w="2880" w:type="dxa"/>
          </w:tcPr>
          <w:p w14:paraId="538A9B3D" w14:textId="77777777" w:rsidR="007D44A2" w:rsidRDefault="002E0023">
            <w:r>
              <w:t>Implement business unit policies; enable cost analysis</w:t>
            </w:r>
          </w:p>
        </w:tc>
        <w:tc>
          <w:tcPr>
            <w:tcW w:w="2880" w:type="dxa"/>
          </w:tcPr>
          <w:p w14:paraId="07725BD7" w14:textId="77777777" w:rsidR="007D44A2" w:rsidRDefault="002E0023">
            <w:r>
              <w:t>Deploy approved resources; configure monitoring</w:t>
            </w:r>
          </w:p>
        </w:tc>
      </w:tr>
      <w:tr w:rsidR="007D44A2" w14:paraId="07D0FD7C" w14:textId="77777777">
        <w:trPr>
          <w:jc w:val="center"/>
        </w:trPr>
        <w:tc>
          <w:tcPr>
            <w:tcW w:w="2880" w:type="dxa"/>
          </w:tcPr>
          <w:p w14:paraId="4EE1E839" w14:textId="77777777" w:rsidR="007D44A2" w:rsidRDefault="002E0023">
            <w:r>
              <w:t>4</w:t>
            </w:r>
          </w:p>
        </w:tc>
        <w:tc>
          <w:tcPr>
            <w:tcW w:w="2880" w:type="dxa"/>
          </w:tcPr>
          <w:p w14:paraId="4B96C4BF" w14:textId="77777777" w:rsidR="007D44A2" w:rsidRDefault="002E0023">
            <w:r>
              <w:t>CFO dashboard; implement chargeback model</w:t>
            </w:r>
          </w:p>
        </w:tc>
        <w:tc>
          <w:tcPr>
            <w:tcW w:w="2880" w:type="dxa"/>
          </w:tcPr>
          <w:p w14:paraId="7206BEC2" w14:textId="77777777" w:rsidR="007D44A2" w:rsidRDefault="002E0023">
            <w:r>
              <w:t>Enable auto-remediation; first compliance scan</w:t>
            </w:r>
          </w:p>
        </w:tc>
      </w:tr>
      <w:tr w:rsidR="007D44A2" w14:paraId="79ABD38C" w14:textId="77777777">
        <w:trPr>
          <w:jc w:val="center"/>
        </w:trPr>
        <w:tc>
          <w:tcPr>
            <w:tcW w:w="2880" w:type="dxa"/>
          </w:tcPr>
          <w:p w14:paraId="77992BD3" w14:textId="77777777" w:rsidR="007D44A2" w:rsidRDefault="002E0023">
            <w:r>
              <w:t>5</w:t>
            </w:r>
          </w:p>
        </w:tc>
        <w:tc>
          <w:tcPr>
            <w:tcW w:w="2880" w:type="dxa"/>
          </w:tcPr>
          <w:p w14:paraId="4A333D2E" w14:textId="77777777" w:rsidR="007D44A2" w:rsidRDefault="002E0023">
            <w:r>
              <w:t>Enterprise IT training</w:t>
            </w:r>
          </w:p>
        </w:tc>
        <w:tc>
          <w:tcPr>
            <w:tcW w:w="2880" w:type="dxa"/>
          </w:tcPr>
          <w:p w14:paraId="2ABEED8C" w14:textId="77777777" w:rsidR="007D44A2" w:rsidRDefault="002E0023">
            <w:r>
              <w:t>Project team onboarding</w:t>
            </w:r>
          </w:p>
        </w:tc>
      </w:tr>
      <w:tr w:rsidR="007D44A2" w14:paraId="5F3530F2" w14:textId="77777777">
        <w:trPr>
          <w:jc w:val="center"/>
        </w:trPr>
        <w:tc>
          <w:tcPr>
            <w:tcW w:w="2880" w:type="dxa"/>
          </w:tcPr>
          <w:p w14:paraId="4FDF8AD5" w14:textId="77777777" w:rsidR="007D44A2" w:rsidRDefault="002E0023">
            <w:r>
              <w:lastRenderedPageBreak/>
              <w:t>6</w:t>
            </w:r>
          </w:p>
        </w:tc>
        <w:tc>
          <w:tcPr>
            <w:tcW w:w="2880" w:type="dxa"/>
          </w:tcPr>
          <w:p w14:paraId="4DDDF9A6" w14:textId="77777777" w:rsidR="007D44A2" w:rsidRDefault="002E0023">
            <w:r>
              <w:t>Monitor policy compliance; optimize shared services</w:t>
            </w:r>
          </w:p>
        </w:tc>
        <w:tc>
          <w:tcPr>
            <w:tcW w:w="2880" w:type="dxa"/>
          </w:tcPr>
          <w:p w14:paraId="57BF4133" w14:textId="77777777" w:rsidR="007D44A2" w:rsidRDefault="002E0023">
            <w:r>
              <w:t>Run test workloads; validate cost tracking</w:t>
            </w:r>
          </w:p>
        </w:tc>
      </w:tr>
      <w:tr w:rsidR="007D44A2" w14:paraId="1864C2B7" w14:textId="77777777">
        <w:trPr>
          <w:jc w:val="center"/>
        </w:trPr>
        <w:tc>
          <w:tcPr>
            <w:tcW w:w="2880" w:type="dxa"/>
          </w:tcPr>
          <w:p w14:paraId="16A39194" w14:textId="77777777" w:rsidR="007D44A2" w:rsidRDefault="002E0023">
            <w:r>
              <w:t>7</w:t>
            </w:r>
          </w:p>
        </w:tc>
        <w:tc>
          <w:tcPr>
            <w:tcW w:w="2880" w:type="dxa"/>
          </w:tcPr>
          <w:p w14:paraId="1C149031" w14:textId="77777777" w:rsidR="007D44A2" w:rsidRDefault="002E0023">
            <w:r>
              <w:t>Refine policies based on feedback</w:t>
            </w:r>
          </w:p>
        </w:tc>
        <w:tc>
          <w:tcPr>
            <w:tcW w:w="2880" w:type="dxa"/>
          </w:tcPr>
          <w:p w14:paraId="5BEC6ED5" w14:textId="77777777" w:rsidR="007D44A2" w:rsidRDefault="002E0023">
            <w:r>
              <w:t>Load testing; compliance review</w:t>
            </w:r>
          </w:p>
        </w:tc>
      </w:tr>
      <w:tr w:rsidR="007D44A2" w14:paraId="6BBBB02F" w14:textId="77777777">
        <w:trPr>
          <w:jc w:val="center"/>
        </w:trPr>
        <w:tc>
          <w:tcPr>
            <w:tcW w:w="2880" w:type="dxa"/>
          </w:tcPr>
          <w:p w14:paraId="6C8E9815" w14:textId="77777777" w:rsidR="007D44A2" w:rsidRDefault="002E0023">
            <w:r>
              <w:t>8</w:t>
            </w:r>
          </w:p>
        </w:tc>
        <w:tc>
          <w:tcPr>
            <w:tcW w:w="2880" w:type="dxa"/>
          </w:tcPr>
          <w:p w14:paraId="356D40E9" w14:textId="77777777" w:rsidR="007D44A2" w:rsidRDefault="002E0023">
            <w:r>
              <w:t>Go-live; handoff to operations</w:t>
            </w:r>
          </w:p>
        </w:tc>
        <w:tc>
          <w:tcPr>
            <w:tcW w:w="2880" w:type="dxa"/>
          </w:tcPr>
          <w:p w14:paraId="3B5FF80C" w14:textId="77777777" w:rsidR="007D44A2" w:rsidRDefault="002E0023">
            <w:r>
              <w:t>Project reporting; cost analysis</w:t>
            </w:r>
          </w:p>
        </w:tc>
      </w:tr>
    </w:tbl>
    <w:p w14:paraId="1A62F463" w14:textId="77777777" w:rsidR="007D44A2" w:rsidRDefault="002E0023">
      <w:pPr>
        <w:pStyle w:val="Heading1"/>
      </w:pPr>
      <w:bookmarkStart w:id="8" w:name="KPIs"/>
      <w:r>
        <w:t>Key Performance Indicators (KPIs)</w:t>
      </w:r>
      <w:bookmarkEnd w:id="8"/>
    </w:p>
    <w:p w14:paraId="61463070" w14:textId="77777777" w:rsidR="007D44A2" w:rsidRDefault="002E0023">
      <w:r>
        <w:t>Cost &amp; Accounting: Monthly cost variance &lt; 5%; cost tracking accuracy &gt; 98%; policy compliance &gt; 95%; on-time CFO reports.</w:t>
      </w:r>
    </w:p>
    <w:p w14:paraId="5CBD148C" w14:textId="77777777" w:rsidR="007D44A2" w:rsidRDefault="002E0023">
      <w:r>
        <w:t>Customer Feedback Project: 100% of costs captured; &gt;99% naming compliance; violations remediated &lt; 24h; 50% lower cost per test VM vs standard pricing.</w:t>
      </w:r>
    </w:p>
    <w:p w14:paraId="5CCA3339" w14:textId="77777777" w:rsidR="007D44A2" w:rsidRDefault="002E0023">
      <w:pPr>
        <w:pStyle w:val="Heading1"/>
      </w:pPr>
      <w:bookmarkStart w:id="9" w:name="Conclusion"/>
      <w:r>
        <w:t>Conclusion</w:t>
      </w:r>
      <w:bookmarkEnd w:id="9"/>
    </w:p>
    <w:p w14:paraId="541BEEEB" w14:textId="77777777" w:rsidR="007D44A2" w:rsidRDefault="002E0023">
      <w:r>
        <w:t>This governance solution delivers cost accountability, complete project cost visibility, automated compliance enforcement, alignment to the Well-Architected Framework, and a scalable model with an 8-week implementation plan.</w:t>
      </w:r>
    </w:p>
    <w:sectPr w:rsidR="007D44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7058387">
    <w:abstractNumId w:val="8"/>
  </w:num>
  <w:num w:numId="2" w16cid:durableId="685249453">
    <w:abstractNumId w:val="6"/>
  </w:num>
  <w:num w:numId="3" w16cid:durableId="262736412">
    <w:abstractNumId w:val="5"/>
  </w:num>
  <w:num w:numId="4" w16cid:durableId="455148272">
    <w:abstractNumId w:val="4"/>
  </w:num>
  <w:num w:numId="5" w16cid:durableId="398524995">
    <w:abstractNumId w:val="7"/>
  </w:num>
  <w:num w:numId="6" w16cid:durableId="381636241">
    <w:abstractNumId w:val="3"/>
  </w:num>
  <w:num w:numId="7" w16cid:durableId="895237309">
    <w:abstractNumId w:val="2"/>
  </w:num>
  <w:num w:numId="8" w16cid:durableId="1833058978">
    <w:abstractNumId w:val="1"/>
  </w:num>
  <w:num w:numId="9" w16cid:durableId="1980574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0023"/>
    <w:rsid w:val="00326F90"/>
    <w:rsid w:val="00383C84"/>
    <w:rsid w:val="00512450"/>
    <w:rsid w:val="007A1375"/>
    <w:rsid w:val="007D44A2"/>
    <w:rsid w:val="00AA1D8D"/>
    <w:rsid w:val="00B47730"/>
    <w:rsid w:val="00CB0664"/>
    <w:rsid w:val="00CF22F4"/>
    <w:rsid w:val="00D839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AACB9A"/>
  <w14:defaultImageDpi w14:val="300"/>
  <w15:docId w15:val="{07FEF8D5-C9ED-4660-86F0-EBA12D99C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lainText">
    <w:name w:val="Plain Text"/>
    <w:basedOn w:val="Normal"/>
    <w:link w:val="PlainTextChar"/>
    <w:uiPriority w:val="99"/>
    <w:unhideWhenUsed/>
    <w:rsid w:val="00D8397D"/>
    <w:pPr>
      <w:spacing w:after="0" w:line="240" w:lineRule="auto"/>
    </w:pPr>
    <w:rPr>
      <w:rFonts w:ascii="Consolas" w:eastAsiaTheme="minorHAnsi" w:hAnsi="Consolas"/>
      <w:kern w:val="2"/>
      <w:sz w:val="21"/>
      <w:szCs w:val="21"/>
      <w:lang w:val="en-IN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D8397D"/>
    <w:rPr>
      <w:rFonts w:ascii="Consolas" w:eastAsiaTheme="minorHAnsi" w:hAnsi="Consolas"/>
      <w:kern w:val="2"/>
      <w:sz w:val="21"/>
      <w:szCs w:val="21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7</Pages>
  <Words>1021</Words>
  <Characters>6916</Characters>
  <Application>Microsoft Office Word</Application>
  <DocSecurity>0</DocSecurity>
  <Lines>266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S, Sandhya (Cognizant)</cp:lastModifiedBy>
  <cp:revision>4</cp:revision>
  <dcterms:created xsi:type="dcterms:W3CDTF">2026-01-29T18:21:00Z</dcterms:created>
  <dcterms:modified xsi:type="dcterms:W3CDTF">2026-01-30T04:14:00Z</dcterms:modified>
  <cp:category/>
</cp:coreProperties>
</file>