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CC0000"/>
          <w:sz w:val="64"/>
          <w:szCs w:val="64"/>
        </w:rPr>
        <w:t xml:space="preserve">Commercial Excellence</w:t>
      </w:r>
    </w:p>
    <w:p>
      <w:pPr>
        <w:spacing w:after="200" w:before="0"/>
        <w:jc w:val="center"/>
      </w:pPr>
      <w:r>
        <w:rPr>
          <w:rFonts w:ascii="Arial" w:cs="Arial" w:eastAsia="Arial" w:hAnsi="Arial"/>
          <w:b/>
          <w:bCs/>
          <w:color w:val="1F4E79"/>
          <w:sz w:val="52"/>
          <w:szCs w:val="52"/>
        </w:rPr>
        <w:t xml:space="preserve">Strategy Diagnostic Playbook</w:t>
      </w:r>
    </w:p>
    <w:p>
      <w:pPr>
        <w:spacing w:after="400" w:before="0"/>
        <w:jc w:val="center"/>
      </w:pPr>
      <w:r>
        <w:rPr>
          <w:rFonts w:ascii="Arial" w:cs="Arial" w:eastAsia="Arial" w:hAnsi="Arial"/>
          <w:i/>
          <w:iCs/>
          <w:color w:val="555555"/>
          <w:sz w:val="24"/>
          <w:szCs w:val="24"/>
        </w:rPr>
        <w:t xml:space="preserve">Complete Reference: hypotheses, analyses, data packs, workflow, storyline</w:t>
      </w:r>
    </w:p>
    <w:p>
      <w:pPr>
        <w:spacing w:after="100" w:before="400"/>
        <w:jc w:val="center"/>
      </w:pPr>
      <w:r>
        <w:rPr>
          <w:rFonts w:ascii="Arial" w:cs="Arial" w:eastAsia="Arial" w:hAnsi="Arial"/>
          <w:color w:val="555555"/>
          <w:sz w:val="22"/>
          <w:szCs w:val="22"/>
        </w:rPr>
        <w:t xml:space="preserve">From handwritten case notes + the full CE delivery toolkit</w:t>
      </w:r>
    </w:p>
    <w:p>
      <w:pPr>
        <w:spacing w:after="200" w:before="600"/>
        <w:jc w:val="center"/>
      </w:pPr>
      <w:r>
        <w:rPr>
          <w:rFonts w:ascii="Arial" w:cs="Arial" w:eastAsia="Arial" w:hAnsi="Arial"/>
          <w:i/>
          <w:iCs/>
          <w:color w:val="777777"/>
          <w:sz w:val="22"/>
          <w:szCs w:val="22"/>
        </w:rPr>
        <w:t xml:space="preserve">5 branches  ·  34 hypotheses  ·  58 analyses  ·  12 data packs  ·  15-page storyline blueprint</w:t>
      </w:r>
    </w:p>
    <w:p>
      <w:r>
        <w:br w:type="page"/>
      </w:r>
    </w:p>
    <w:p>
      <w:pPr>
        <w:pStyle w:val="Heading1"/>
        <w:spacing w:after="200" w:before="360"/>
      </w:pPr>
      <w:r>
        <w:rPr>
          <w:rFonts w:ascii="Arial" w:cs="Arial" w:eastAsia="Arial" w:hAnsi="Arial"/>
          <w:b/>
          <w:bCs/>
          <w:color w:val="CC0000"/>
          <w:sz w:val="36"/>
          <w:szCs w:val="36"/>
        </w:rPr>
        <w:t xml:space="preserve">How to use this document</w:t>
      </w:r>
    </w:p>
    <w:p>
      <w:pPr>
        <w:spacing w:after="80" w:before="80"/>
      </w:pPr>
      <w:r>
        <w:rPr>
          <w:rFonts w:ascii="Arial" w:cs="Arial" w:eastAsia="Arial" w:hAnsi="Arial"/>
          <w:sz w:val="20"/>
          <w:szCs w:val="20"/>
        </w:rPr>
        <w:t xml:space="preserve">This is the structured reference you build on after a diagnostic finishes — and the checklist you scan before one starts. The work has five parallel layers and they map onto each other tightly: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Layer</w:t>
            </w:r>
          </w:p>
        </w:tc>
        <w:tc>
          <w:tcPr>
            <w:tcW w:type="dxa" w:w="36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What lives here</w:t>
            </w:r>
          </w:p>
        </w:tc>
        <w:tc>
          <w:tcPr>
            <w:tcW w:type="dxa" w:w="39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Where to find it in this doc</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Diagnostic spine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The 5-branch hypothesis tree (MKT / PRC / NRP / IBV / COST). The mental model.</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Sections 2–3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Hypotheses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34 root-cause hypotheses, one per failure mode. Each tagged to a branch and to analyses.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Section 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Analysis catalog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58 named analyses with formulas, data requirements, and exhibit type.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Sections 5–11 (by module)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Data blueprint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12 data packs that unlock every analysis — what to ask the client for on Day 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Section 13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Workflow &amp; storyline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5-phase delivery flow + 15-page slide blueprint that becomes the deliverable.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Sections 14–15</w:t>
            </w:r>
          </w:p>
        </w:tc>
      </w:tr>
    </w:tbl>
    <w:p>
      <w:pPr>
        <w:spacing w:after="60" w:before="60"/>
      </w:pPr>
      <w:r>
        <w:t xml:space="preserve"/>
      </w:r>
    </w:p>
    <w:p>
      <w:pPr>
        <w:spacing w:after="80" w:before="80"/>
      </w:pPr>
      <w:r>
        <w:rPr>
          <w:rFonts w:ascii="Arial" w:cs="Arial" w:eastAsia="Arial" w:hAnsi="Arial"/>
          <w:b/>
          <w:bCs/>
          <w:sz w:val="20"/>
          <w:szCs w:val="20"/>
        </w:rPr>
        <w:t xml:space="preserve">How to read it: </w:t>
      </w:r>
      <w:r>
        <w:rPr>
          <w:rFonts w:ascii="Arial" w:cs="Arial" w:eastAsia="Arial" w:hAnsi="Arial"/>
          <w:sz w:val="20"/>
          <w:szCs w:val="20"/>
        </w:rPr>
        <w:t xml:space="preserve">Sections 1–2 are the orientation (what the case framework looks like). Sections 3–4 are the spine and hypotheses (what to test). Sections 5–11 are the analyses (how to test). Sections 12–13 are the operating layer (data, productivity, capacity). Sections 14–15 are delivery (how to run and present).</w:t>
      </w:r>
    </w:p>
    <w:p>
      <w:r>
        <w:br w:type="page"/>
      </w:r>
    </w:p>
    <w:p>
      <w:pPr>
        <w:pStyle w:val="Heading1"/>
        <w:spacing w:after="200" w:before="360"/>
      </w:pPr>
      <w:r>
        <w:rPr>
          <w:rFonts w:ascii="Arial" w:cs="Arial" w:eastAsia="Arial" w:hAnsi="Arial"/>
          <w:b/>
          <w:bCs/>
          <w:color w:val="CC0000"/>
          <w:sz w:val="36"/>
          <w:szCs w:val="36"/>
        </w:rPr>
        <w:t xml:space="preserve">Contents</w:t>
      </w:r>
    </w:p>
    <w:p>
      <w:pPr>
        <w:pStyle w:val="ListParagraph"/>
        <w:numPr>
          <w:ilvl w:val="0"/>
          <w:numId w:val="2"/>
        </w:numPr>
        <w:spacing w:after="30" w:before="30"/>
      </w:pPr>
      <w:r>
        <w:rPr>
          <w:rFonts w:ascii="Arial" w:cs="Arial" w:eastAsia="Arial" w:hAnsi="Arial"/>
          <w:b/>
          <w:bCs/>
          <w:sz w:val="20"/>
          <w:szCs w:val="20"/>
        </w:rPr>
        <w:t xml:space="preserve">Part I — Orientation</w:t>
      </w:r>
    </w:p>
    <w:p>
      <w:pPr>
        <w:pStyle w:val="ListParagraph"/>
        <w:numPr>
          <w:ilvl w:val="1"/>
          <w:numId w:val="2"/>
        </w:numPr>
        <w:spacing w:after="30" w:before="30"/>
      </w:pPr>
      <w:r>
        <w:rPr>
          <w:rFonts w:ascii="Arial" w:cs="Arial" w:eastAsia="Arial" w:hAnsi="Arial"/>
          <w:sz w:val="20"/>
          <w:szCs w:val="20"/>
        </w:rPr>
        <w:t xml:space="preserve">1. The master case tree: Revenue × Cost</w:t>
      </w:r>
    </w:p>
    <w:p>
      <w:pPr>
        <w:pStyle w:val="ListParagraph"/>
        <w:numPr>
          <w:ilvl w:val="1"/>
          <w:numId w:val="2"/>
        </w:numPr>
        <w:spacing w:after="30" w:before="30"/>
      </w:pPr>
      <w:r>
        <w:rPr>
          <w:rFonts w:ascii="Arial" w:cs="Arial" w:eastAsia="Arial" w:hAnsi="Arial"/>
          <w:sz w:val="20"/>
          <w:szCs w:val="20"/>
        </w:rPr>
        <w:t xml:space="preserve">2. From case tree to diagnostic spine</w:t>
      </w:r>
    </w:p>
    <w:p>
      <w:pPr>
        <w:pStyle w:val="ListParagraph"/>
        <w:numPr>
          <w:ilvl w:val="0"/>
          <w:numId w:val="2"/>
        </w:numPr>
        <w:spacing w:after="30" w:before="30"/>
      </w:pPr>
      <w:r>
        <w:rPr>
          <w:rFonts w:ascii="Arial" w:cs="Arial" w:eastAsia="Arial" w:hAnsi="Arial"/>
          <w:b/>
          <w:bCs/>
          <w:sz w:val="20"/>
          <w:szCs w:val="20"/>
        </w:rPr>
        <w:t xml:space="preserve">Part II — The CE Diagnostic Framework</w:t>
      </w:r>
    </w:p>
    <w:p>
      <w:pPr>
        <w:pStyle w:val="ListParagraph"/>
        <w:numPr>
          <w:ilvl w:val="1"/>
          <w:numId w:val="2"/>
        </w:numPr>
        <w:spacing w:after="30" w:before="30"/>
      </w:pPr>
      <w:r>
        <w:rPr>
          <w:rFonts w:ascii="Arial" w:cs="Arial" w:eastAsia="Arial" w:hAnsi="Arial"/>
          <w:sz w:val="20"/>
          <w:szCs w:val="20"/>
        </w:rPr>
        <w:t xml:space="preserve">3. The 5-branch CE spine (MKT / PRC / NRP / IBV / COST)</w:t>
      </w:r>
    </w:p>
    <w:p>
      <w:pPr>
        <w:pStyle w:val="ListParagraph"/>
        <w:numPr>
          <w:ilvl w:val="1"/>
          <w:numId w:val="2"/>
        </w:numPr>
        <w:spacing w:after="30" w:before="30"/>
      </w:pPr>
      <w:r>
        <w:rPr>
          <w:rFonts w:ascii="Arial" w:cs="Arial" w:eastAsia="Arial" w:hAnsi="Arial"/>
          <w:sz w:val="20"/>
          <w:szCs w:val="20"/>
        </w:rPr>
        <w:t xml:space="preserve">4. The 34 hypotheses — full catalog with diagnostic questions</w:t>
      </w:r>
    </w:p>
    <w:p>
      <w:pPr>
        <w:pStyle w:val="ListParagraph"/>
        <w:numPr>
          <w:ilvl w:val="0"/>
          <w:numId w:val="2"/>
        </w:numPr>
        <w:spacing w:after="30" w:before="30"/>
      </w:pPr>
      <w:r>
        <w:rPr>
          <w:rFonts w:ascii="Arial" w:cs="Arial" w:eastAsia="Arial" w:hAnsi="Arial"/>
          <w:b/>
          <w:bCs/>
          <w:sz w:val="20"/>
          <w:szCs w:val="20"/>
        </w:rPr>
        <w:t xml:space="preserve">Part III — The Analyses (58 in 8 modules)</w:t>
      </w:r>
    </w:p>
    <w:p>
      <w:pPr>
        <w:pStyle w:val="ListParagraph"/>
        <w:numPr>
          <w:ilvl w:val="1"/>
          <w:numId w:val="2"/>
        </w:numPr>
        <w:spacing w:after="30" w:before="30"/>
      </w:pPr>
      <w:r>
        <w:rPr>
          <w:rFonts w:ascii="Arial" w:cs="Arial" w:eastAsia="Arial" w:hAnsi="Arial"/>
          <w:sz w:val="20"/>
          <w:szCs w:val="20"/>
        </w:rPr>
        <w:t xml:space="preserve">5. Outside-in diagnostics module</w:t>
      </w:r>
    </w:p>
    <w:p>
      <w:pPr>
        <w:pStyle w:val="ListParagraph"/>
        <w:numPr>
          <w:ilvl w:val="1"/>
          <w:numId w:val="2"/>
        </w:numPr>
        <w:spacing w:after="30" w:before="30"/>
      </w:pPr>
      <w:r>
        <w:rPr>
          <w:rFonts w:ascii="Arial" w:cs="Arial" w:eastAsia="Arial" w:hAnsi="Arial"/>
          <w:sz w:val="20"/>
          <w:szCs w:val="20"/>
        </w:rPr>
        <w:t xml:space="preserve">6. Employee census module</w:t>
      </w:r>
    </w:p>
    <w:p>
      <w:pPr>
        <w:pStyle w:val="ListParagraph"/>
        <w:numPr>
          <w:ilvl w:val="1"/>
          <w:numId w:val="2"/>
        </w:numPr>
        <w:spacing w:after="30" w:before="30"/>
      </w:pPr>
      <w:r>
        <w:rPr>
          <w:rFonts w:ascii="Arial" w:cs="Arial" w:eastAsia="Arial" w:hAnsi="Arial"/>
          <w:sz w:val="20"/>
          <w:szCs w:val="20"/>
        </w:rPr>
        <w:t xml:space="preserve">7. Employee performance module</w:t>
      </w:r>
    </w:p>
    <w:p>
      <w:pPr>
        <w:pStyle w:val="ListParagraph"/>
        <w:numPr>
          <w:ilvl w:val="1"/>
          <w:numId w:val="2"/>
        </w:numPr>
        <w:spacing w:after="30" w:before="30"/>
      </w:pPr>
      <w:r>
        <w:rPr>
          <w:rFonts w:ascii="Arial" w:cs="Arial" w:eastAsia="Arial" w:hAnsi="Arial"/>
          <w:sz w:val="20"/>
          <w:szCs w:val="20"/>
        </w:rPr>
        <w:t xml:space="preserve">8. Compensation module</w:t>
      </w:r>
    </w:p>
    <w:p>
      <w:pPr>
        <w:pStyle w:val="ListParagraph"/>
        <w:numPr>
          <w:ilvl w:val="1"/>
          <w:numId w:val="2"/>
        </w:numPr>
        <w:spacing w:after="30" w:before="30"/>
      </w:pPr>
      <w:r>
        <w:rPr>
          <w:rFonts w:ascii="Arial" w:cs="Arial" w:eastAsia="Arial" w:hAnsi="Arial"/>
          <w:sz w:val="20"/>
          <w:szCs w:val="20"/>
        </w:rPr>
        <w:t xml:space="preserve">9. Customer analysis module</w:t>
      </w:r>
    </w:p>
    <w:p>
      <w:pPr>
        <w:pStyle w:val="ListParagraph"/>
        <w:numPr>
          <w:ilvl w:val="1"/>
          <w:numId w:val="2"/>
        </w:numPr>
        <w:spacing w:after="30" w:before="30"/>
      </w:pPr>
      <w:r>
        <w:rPr>
          <w:rFonts w:ascii="Arial" w:cs="Arial" w:eastAsia="Arial" w:hAnsi="Arial"/>
          <w:sz w:val="20"/>
          <w:szCs w:val="20"/>
        </w:rPr>
        <w:t xml:space="preserve">10. Pipeline modules (static + movement)</w:t>
      </w:r>
    </w:p>
    <w:p>
      <w:pPr>
        <w:pStyle w:val="ListParagraph"/>
        <w:numPr>
          <w:ilvl w:val="1"/>
          <w:numId w:val="2"/>
        </w:numPr>
        <w:spacing w:after="30" w:before="30"/>
      </w:pPr>
      <w:r>
        <w:rPr>
          <w:rFonts w:ascii="Arial" w:cs="Arial" w:eastAsia="Arial" w:hAnsi="Arial"/>
          <w:sz w:val="20"/>
          <w:szCs w:val="20"/>
        </w:rPr>
        <w:t xml:space="preserve">11. Pricing module + Upside calculation</w:t>
      </w:r>
    </w:p>
    <w:p>
      <w:pPr>
        <w:pStyle w:val="ListParagraph"/>
        <w:numPr>
          <w:ilvl w:val="0"/>
          <w:numId w:val="2"/>
        </w:numPr>
        <w:spacing w:after="30" w:before="30"/>
      </w:pPr>
      <w:r>
        <w:rPr>
          <w:rFonts w:ascii="Arial" w:cs="Arial" w:eastAsia="Arial" w:hAnsi="Arial"/>
          <w:b/>
          <w:bCs/>
          <w:sz w:val="20"/>
          <w:szCs w:val="20"/>
        </w:rPr>
        <w:t xml:space="preserve">Part IV — Reference Layers</w:t>
      </w:r>
    </w:p>
    <w:p>
      <w:pPr>
        <w:pStyle w:val="ListParagraph"/>
        <w:numPr>
          <w:ilvl w:val="1"/>
          <w:numId w:val="2"/>
        </w:numPr>
        <w:spacing w:after="30" w:before="30"/>
      </w:pPr>
      <w:r>
        <w:rPr>
          <w:rFonts w:ascii="Arial" w:cs="Arial" w:eastAsia="Arial" w:hAnsi="Arial"/>
          <w:sz w:val="20"/>
          <w:szCs w:val="20"/>
        </w:rPr>
        <w:t xml:space="preserve">12. KPI cheat sheet &amp; metric definitions</w:t>
      </w:r>
    </w:p>
    <w:p>
      <w:pPr>
        <w:pStyle w:val="ListParagraph"/>
        <w:numPr>
          <w:ilvl w:val="1"/>
          <w:numId w:val="2"/>
        </w:numPr>
        <w:spacing w:after="30" w:before="30"/>
      </w:pPr>
      <w:r>
        <w:rPr>
          <w:rFonts w:ascii="Arial" w:cs="Arial" w:eastAsia="Arial" w:hAnsi="Arial"/>
          <w:sz w:val="20"/>
          <w:szCs w:val="20"/>
        </w:rPr>
        <w:t xml:space="preserve">13. Data blueprint — packs, fields, owners</w:t>
      </w:r>
    </w:p>
    <w:p>
      <w:pPr>
        <w:pStyle w:val="ListParagraph"/>
        <w:numPr>
          <w:ilvl w:val="1"/>
          <w:numId w:val="2"/>
        </w:numPr>
        <w:spacing w:after="30" w:before="30"/>
      </w:pPr>
      <w:r>
        <w:rPr>
          <w:rFonts w:ascii="Arial" w:cs="Arial" w:eastAsia="Arial" w:hAnsi="Arial"/>
          <w:sz w:val="20"/>
          <w:szCs w:val="20"/>
        </w:rPr>
        <w:t xml:space="preserve">14. Workflow: 5 phases from scope to storyline</w:t>
      </w:r>
    </w:p>
    <w:p>
      <w:pPr>
        <w:pStyle w:val="ListParagraph"/>
        <w:numPr>
          <w:ilvl w:val="1"/>
          <w:numId w:val="2"/>
        </w:numPr>
        <w:spacing w:after="30" w:before="30"/>
      </w:pPr>
      <w:r>
        <w:rPr>
          <w:rFonts w:ascii="Arial" w:cs="Arial" w:eastAsia="Arial" w:hAnsi="Arial"/>
          <w:sz w:val="20"/>
          <w:szCs w:val="20"/>
        </w:rPr>
        <w:t xml:space="preserve">15. Storyline blueprint: 15-page deck</w:t>
      </w:r>
    </w:p>
    <w:p>
      <w:pPr>
        <w:pStyle w:val="ListParagraph"/>
        <w:numPr>
          <w:ilvl w:val="0"/>
          <w:numId w:val="2"/>
        </w:numPr>
        <w:spacing w:after="30" w:before="30"/>
      </w:pPr>
      <w:r>
        <w:rPr>
          <w:rFonts w:ascii="Arial" w:cs="Arial" w:eastAsia="Arial" w:hAnsi="Arial"/>
          <w:b/>
          <w:bCs/>
          <w:sz w:val="20"/>
          <w:szCs w:val="20"/>
        </w:rPr>
        <w:t xml:space="preserve">Part V — Operating Notes</w:t>
      </w:r>
    </w:p>
    <w:p>
      <w:pPr>
        <w:pStyle w:val="ListParagraph"/>
        <w:numPr>
          <w:ilvl w:val="1"/>
          <w:numId w:val="2"/>
        </w:numPr>
        <w:spacing w:after="30" w:before="30"/>
      </w:pPr>
      <w:r>
        <w:rPr>
          <w:rFonts w:ascii="Arial" w:cs="Arial" w:eastAsia="Arial" w:hAnsi="Arial"/>
          <w:sz w:val="20"/>
          <w:szCs w:val="20"/>
        </w:rPr>
        <w:t xml:space="preserve">16. Standard operating procedures and tools</w:t>
      </w:r>
    </w:p>
    <w:p>
      <w:pPr>
        <w:pStyle w:val="ListParagraph"/>
        <w:numPr>
          <w:ilvl w:val="1"/>
          <w:numId w:val="2"/>
        </w:numPr>
        <w:spacing w:after="30" w:before="30"/>
      </w:pPr>
      <w:r>
        <w:rPr>
          <w:rFonts w:ascii="Arial" w:cs="Arial" w:eastAsia="Arial" w:hAnsi="Arial"/>
          <w:sz w:val="20"/>
          <w:szCs w:val="20"/>
        </w:rPr>
        <w:t xml:space="preserve">17. UVA worked example (the most-used analysis)</w:t>
      </w:r>
    </w:p>
    <w:p>
      <w:pPr>
        <w:pStyle w:val="ListParagraph"/>
        <w:numPr>
          <w:ilvl w:val="1"/>
          <w:numId w:val="2"/>
        </w:numPr>
        <w:spacing w:after="30" w:before="30"/>
      </w:pPr>
      <w:r>
        <w:rPr>
          <w:rFonts w:ascii="Arial" w:cs="Arial" w:eastAsia="Arial" w:hAnsi="Arial"/>
          <w:sz w:val="20"/>
          <w:szCs w:val="20"/>
        </w:rPr>
        <w:t xml:space="preserve">18. Recommended additions: catalogue gaps</w:t>
      </w:r>
    </w:p>
    <w:p>
      <w:pPr>
        <w:pStyle w:val="ListParagraph"/>
        <w:numPr>
          <w:ilvl w:val="1"/>
          <w:numId w:val="2"/>
        </w:numPr>
        <w:spacing w:after="30" w:before="30"/>
      </w:pPr>
      <w:r>
        <w:rPr>
          <w:rFonts w:ascii="Arial" w:cs="Arial" w:eastAsia="Arial" w:hAnsi="Arial"/>
          <w:sz w:val="20"/>
          <w:szCs w:val="20"/>
        </w:rPr>
        <w:t xml:space="preserve">19. Glossary of abbreviations</w:t>
      </w:r>
    </w:p>
    <w:p>
      <w:r>
        <w:br w:type="page"/>
      </w:r>
    </w:p>
    <w:p>
      <w:pPr>
        <w:pStyle w:val="Heading1"/>
        <w:spacing w:after="200" w:before="360"/>
      </w:pPr>
      <w:r>
        <w:rPr>
          <w:rFonts w:ascii="Arial" w:cs="Arial" w:eastAsia="Arial" w:hAnsi="Arial"/>
          <w:b/>
          <w:bCs/>
          <w:color w:val="CC0000"/>
          <w:sz w:val="36"/>
          <w:szCs w:val="36"/>
        </w:rPr>
        <w:t xml:space="preserve">Part I — Orientation</w:t>
      </w:r>
    </w:p>
    <w:p>
      <w:pPr>
        <w:pStyle w:val="Heading2"/>
        <w:spacing w:after="140" w:before="280"/>
      </w:pPr>
      <w:r>
        <w:rPr>
          <w:rFonts w:ascii="Arial" w:cs="Arial" w:eastAsia="Arial" w:hAnsi="Arial"/>
          <w:b/>
          <w:bCs/>
          <w:color w:val="1F4E79"/>
          <w:sz w:val="28"/>
          <w:szCs w:val="28"/>
        </w:rPr>
        <w:t xml:space="preserve">1. The master case tree: Revenue × Cost</w:t>
      </w:r>
    </w:p>
    <w:p>
      <w:pPr>
        <w:spacing w:after="80" w:before="80"/>
      </w:pPr>
      <w:r>
        <w:rPr>
          <w:rFonts w:ascii="Arial" w:cs="Arial" w:eastAsia="Arial" w:hAnsi="Arial"/>
          <w:b/>
          <w:bCs/>
          <w:sz w:val="20"/>
          <w:szCs w:val="20"/>
        </w:rPr>
        <w:t xml:space="preserve">The mental starting point. </w:t>
      </w:r>
      <w:r>
        <w:rPr>
          <w:rFonts w:ascii="Arial" w:cs="Arial" w:eastAsia="Arial" w:hAnsi="Arial"/>
          <w:sz w:val="20"/>
          <w:szCs w:val="20"/>
        </w:rPr>
        <w:t xml:space="preserve">Every commercial case ultimately resolves to two questions: can the company </w:t>
      </w:r>
      <w:r>
        <w:rPr>
          <w:rFonts w:ascii="Arial" w:cs="Arial" w:eastAsia="Arial" w:hAnsi="Arial"/>
          <w:b/>
          <w:bCs/>
          <w:sz w:val="20"/>
          <w:szCs w:val="20"/>
        </w:rPr>
        <w:t xml:space="preserve">sell more</w:t>
      </w:r>
      <w:r>
        <w:rPr>
          <w:rFonts w:ascii="Arial" w:cs="Arial" w:eastAsia="Arial" w:hAnsi="Arial"/>
          <w:sz w:val="20"/>
          <w:szCs w:val="20"/>
        </w:rPr>
        <w:t xml:space="preserve"> (revenue) and is the spend behind that revenue </w:t>
      </w:r>
      <w:r>
        <w:rPr>
          <w:rFonts w:ascii="Arial" w:cs="Arial" w:eastAsia="Arial" w:hAnsi="Arial"/>
          <w:b/>
          <w:bCs/>
          <w:sz w:val="20"/>
          <w:szCs w:val="20"/>
        </w:rPr>
        <w:t xml:space="preserve">efficient</w:t>
      </w:r>
      <w:r>
        <w:rPr>
          <w:rFonts w:ascii="Arial" w:cs="Arial" w:eastAsia="Arial" w:hAnsi="Arial"/>
          <w:sz w:val="20"/>
          <w:szCs w:val="20"/>
        </w:rPr>
        <w:t xml:space="preserve"> (cost)? This is the first split on the page; everything else hangs off it.</w:t>
      </w:r>
    </w:p>
    <w:p>
      <w:pPr>
        <w:spacing w:after="80" w:before="160"/>
        <w:jc w:val="center"/>
      </w:pPr>
      <w:r>
        <w:drawing>
          <wp:inline distT="0" distB="0" distL="0" distR="0">
            <wp:extent cx="6286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342900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Master decomposition — Revenue branch (where can we grow?) vs Cost branch (what does that growth cost?)</w:t>
      </w:r>
    </w:p>
    <w:p>
      <w:pPr>
        <w:pStyle w:val="Heading3"/>
        <w:spacing w:after="100" w:before="220"/>
      </w:pPr>
      <w:r>
        <w:rPr>
          <w:rFonts w:ascii="Arial" w:cs="Arial" w:eastAsia="Arial" w:hAnsi="Arial"/>
          <w:b/>
          <w:bCs/>
          <w:color w:val="2E75B6"/>
          <w:sz w:val="24"/>
          <w:szCs w:val="24"/>
        </w:rPr>
        <w:t xml:space="preserve">Revenue branch — five places growth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Lever</w:t>
            </w:r>
          </w:p>
        </w:tc>
        <w:tc>
          <w:tcPr>
            <w:tcW w:type="dxa" w:w="69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What to dig into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Market opportunity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Is the TAM big enough? Where is opportunity densest? Where are we under-covered? (MoneyMap / CORO can size this.)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Coverage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Are we reaching the customers we should — by geo, segment, channel? Pipeline health and coverage ratios live here.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Productivity</w:t>
            </w:r>
          </w:p>
        </w:tc>
        <w:tc>
          <w:tcPr>
            <w:tcW w:type="dxa" w:w="6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Of the reps &amp; dollars we have, how much output? Win rate, SOW, NRR/GRR, productivity dispersion all roll up here.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Pricing</w:t>
            </w:r>
          </w:p>
        </w:tc>
        <w:tc>
          <w:tcPr>
            <w:tcW w:type="dxa" w:w="6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Is there discounting leakage? Is there pricing power left on the table? Often the fastest EBITDA lever.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Account / Territory / Channel</w:t>
            </w:r>
          </w:p>
        </w:tc>
        <w:tc>
          <w:tcPr>
            <w:tcW w:type="dxa" w:w="6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How are accounts sliced and assigned? Direct vs channel mix? Field vs inside?</w:t>
            </w:r>
          </w:p>
        </w:tc>
      </w:tr>
    </w:tbl>
    <w:p>
      <w:pPr>
        <w:pStyle w:val="Heading3"/>
        <w:spacing w:after="100" w:before="220"/>
      </w:pPr>
      <w:r>
        <w:rPr>
          <w:rFonts w:ascii="Arial" w:cs="Arial" w:eastAsia="Arial" w:hAnsi="Arial"/>
          <w:b/>
          <w:bCs/>
          <w:color w:val="2E75B6"/>
          <w:sz w:val="24"/>
          <w:szCs w:val="24"/>
        </w:rPr>
        <w:t xml:space="preserve">Cost branch — Sales vs Marketing</w:t>
      </w:r>
    </w:p>
    <w:p>
      <w:pPr>
        <w:spacing w:after="80" w:before="80"/>
      </w:pPr>
      <w:r>
        <w:rPr>
          <w:rFonts w:ascii="Arial" w:cs="Arial" w:eastAsia="Arial" w:hAnsi="Arial"/>
          <w:sz w:val="20"/>
          <w:szCs w:val="20"/>
        </w:rPr>
        <w:t xml:space="preserve">Cost decomposes neatly into Sales and Marketing. Both then split into </w:t>
      </w:r>
      <w:r>
        <w:rPr>
          <w:rFonts w:ascii="Arial" w:cs="Arial" w:eastAsia="Arial" w:hAnsi="Arial"/>
          <w:b/>
          <w:bCs/>
          <w:sz w:val="20"/>
          <w:szCs w:val="20"/>
        </w:rPr>
        <w:t xml:space="preserve">compensation</w:t>
      </w:r>
      <w:r>
        <w:rPr>
          <w:rFonts w:ascii="Arial" w:cs="Arial" w:eastAsia="Arial" w:hAnsi="Arial"/>
          <w:sz w:val="20"/>
          <w:szCs w:val="20"/>
        </w:rPr>
        <w:t xml:space="preserve"> (people) and </w:t>
      </w:r>
      <w:r>
        <w:rPr>
          <w:rFonts w:ascii="Arial" w:cs="Arial" w:eastAsia="Arial" w:hAnsi="Arial"/>
          <w:b/>
          <w:bCs/>
          <w:sz w:val="20"/>
          <w:szCs w:val="20"/>
        </w:rPr>
        <w:t xml:space="preserve">non-compensation</w:t>
      </w:r>
      <w:r>
        <w:rPr>
          <w:rFonts w:ascii="Arial" w:cs="Arial" w:eastAsia="Arial" w:hAnsi="Arial"/>
          <w:sz w:val="20"/>
          <w:szCs w:val="20"/>
        </w:rPr>
        <w:t xml:space="preserve"> (programs, tools, travel, events).</w:t>
      </w:r>
    </w:p>
    <w:p>
      <w:pPr>
        <w:pStyle w:val="ListParagraph"/>
        <w:numPr>
          <w:ilvl w:val="0"/>
          <w:numId w:val="2"/>
        </w:numPr>
        <w:spacing w:after="30" w:before="30"/>
      </w:pPr>
      <w:r>
        <w:rPr>
          <w:rFonts w:ascii="Arial" w:cs="Arial" w:eastAsia="Arial" w:hAnsi="Arial"/>
          <w:b/>
          <w:bCs/>
          <w:sz w:val="20"/>
          <w:szCs w:val="20"/>
        </w:rPr>
        <w:t xml:space="preserve">Sales: </w:t>
      </w:r>
      <w:r>
        <w:rPr>
          <w:rFonts w:ascii="Arial" w:cs="Arial" w:eastAsia="Arial" w:hAnsi="Arial"/>
          <w:sz w:val="20"/>
          <w:szCs w:val="20"/>
        </w:rPr>
        <w:t xml:space="preserve">frontline reps + support roles (BDR, CSM, RevOps, Pre-sales, SE). Watch headcount, $/rep input, productivity output.</w:t>
      </w:r>
    </w:p>
    <w:p>
      <w:pPr>
        <w:pStyle w:val="ListParagraph"/>
        <w:numPr>
          <w:ilvl w:val="0"/>
          <w:numId w:val="2"/>
        </w:numPr>
        <w:spacing w:after="30" w:before="30"/>
      </w:pPr>
      <w:r>
        <w:rPr>
          <w:rFonts w:ascii="Arial" w:cs="Arial" w:eastAsia="Arial" w:hAnsi="Arial"/>
          <w:b/>
          <w:bCs/>
          <w:sz w:val="20"/>
          <w:szCs w:val="20"/>
        </w:rPr>
        <w:t xml:space="preserve">Marketing: </w:t>
      </w:r>
      <w:r>
        <w:rPr>
          <w:rFonts w:ascii="Arial" w:cs="Arial" w:eastAsia="Arial" w:hAnsi="Arial"/>
          <w:sz w:val="20"/>
          <w:szCs w:val="20"/>
        </w:rPr>
        <w:t xml:space="preserve">usually ~50:50 people-vs-program split. Programs = demand-gen, brand, events, content, MarTech. People = the marketing FTEs themselves.</w:t>
      </w:r>
    </w:p>
    <w:p>
      <w:pPr>
        <w:pStyle w:val="ListParagraph"/>
        <w:numPr>
          <w:ilvl w:val="0"/>
          <w:numId w:val="2"/>
        </w:numPr>
        <w:spacing w:after="30" w:before="30"/>
      </w:pPr>
      <w:r>
        <w:rPr>
          <w:rFonts w:ascii="Arial" w:cs="Arial" w:eastAsia="Arial" w:hAnsi="Arial"/>
          <w:b/>
          <w:bCs/>
          <w:sz w:val="20"/>
          <w:szCs w:val="20"/>
        </w:rPr>
        <w:t xml:space="preserve">Digital marketing (e-comm): </w:t>
      </w:r>
      <w:r>
        <w:rPr>
          <w:rFonts w:ascii="Arial" w:cs="Arial" w:eastAsia="Arial" w:hAnsi="Arial"/>
          <w:sz w:val="20"/>
          <w:szCs w:val="20"/>
        </w:rPr>
        <w:t xml:space="preserve">Often pulled out as its own bucket — Bain runs this through the FRWD digital practice; outbound digital sits with the DDA team under CORO.</w:t>
      </w:r>
    </w:p>
    <w:p>
      <w:r>
        <w:br w:type="page"/>
      </w:r>
    </w:p>
    <w:p>
      <w:pPr>
        <w:pStyle w:val="Heading2"/>
        <w:spacing w:after="140" w:before="280"/>
      </w:pPr>
      <w:r>
        <w:rPr>
          <w:rFonts w:ascii="Arial" w:cs="Arial" w:eastAsia="Arial" w:hAnsi="Arial"/>
          <w:b/>
          <w:bCs/>
          <w:color w:val="1F4E79"/>
          <w:sz w:val="28"/>
          <w:szCs w:val="28"/>
        </w:rPr>
        <w:t xml:space="preserve">2. From case tree to diagnostic spine</w:t>
      </w:r>
    </w:p>
    <w:p>
      <w:pPr>
        <w:spacing w:after="80" w:before="80"/>
      </w:pPr>
      <w:r>
        <w:rPr>
          <w:rFonts w:ascii="Arial" w:cs="Arial" w:eastAsia="Arial" w:hAnsi="Arial"/>
          <w:sz w:val="20"/>
          <w:szCs w:val="20"/>
        </w:rPr>
        <w:t xml:space="preserve">The Revenue × Cost tree is correct but coarse. For commercial diligence and CE diagnostics, the same content reorganizes into </w:t>
      </w:r>
      <w:r>
        <w:rPr>
          <w:rFonts w:ascii="Arial" w:cs="Arial" w:eastAsia="Arial" w:hAnsi="Arial"/>
          <w:b/>
          <w:bCs/>
          <w:sz w:val="20"/>
          <w:szCs w:val="20"/>
        </w:rPr>
        <w:t xml:space="preserve">five issue-led branches</w:t>
      </w:r>
      <w:r>
        <w:rPr>
          <w:rFonts w:ascii="Arial" w:cs="Arial" w:eastAsia="Arial" w:hAnsi="Arial"/>
          <w:sz w:val="20"/>
          <w:szCs w:val="20"/>
        </w:rPr>
        <w:t xml:space="preserve"> that map cleanly to commercial drivers and to who owns each lever. This is the framework you actually use in delivery.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Original branch</w:t>
            </w:r>
          </w:p>
        </w:tc>
        <w:tc>
          <w:tcPr>
            <w:tcW w:type="dxa" w:w="30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CE diagnostic branch</w:t>
            </w:r>
          </w:p>
        </w:tc>
        <w:tc>
          <w:tcPr>
            <w:tcW w:type="dxa" w:w="39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Why the reframe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Revenue → Market opp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8"/>
                <w:szCs w:val="18"/>
              </w:rPr>
              <w:t xml:space="preserve">MKT (Market &amp; Proposition)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Adds proposition-market fit and where-to-play choices, not just TAM size.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Revenue → Pricing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8"/>
                <w:szCs w:val="18"/>
              </w:rPr>
              <w:t xml:space="preserve">PRC (Price, Discount &amp; Mix)</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Adds discount governance, account-level discounting, and mix leakage.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Revenue → Coverage + Productivity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8"/>
                <w:szCs w:val="18"/>
              </w:rPr>
              <w:t xml:space="preserve">NRP (New Revenue Productivity)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The "new revenue engine" — pipeline + reps + quota + territory + channel.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Revenue → Account / Territory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8"/>
                <w:szCs w:val="18"/>
              </w:rPr>
              <w:t xml:space="preserve">IBV (Installed-Base Value)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Separates the "expand / retain" question from the "new revenue" question.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Cost → Sales + Marketing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8"/>
                <w:szCs w:val="18"/>
              </w:rPr>
              <w:t xml:space="preserve">COST (S&amp;M Cost Structure)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Adds tool, agency, vendor and capacity efficiency views.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3F" w:sz="8"/>
              <w:left w:val="single" w:color="2D7D3F" w:sz="8"/>
              <w:bottom w:val="single" w:color="2D7D3F" w:sz="8"/>
              <w:right w:val="single" w:color="2D7D3F" w:sz="8"/>
            </w:tcBorders>
            <w:shd w:fill="E6F4EA" w:val="clear"/>
            <w:tcMar>
              <w:top w:type="dxa" w:w="140"/>
              <w:left w:type="dxa" w:w="180"/>
              <w:bottom w:type="dxa" w:w="140"/>
              <w:right w:type="dxa" w:w="180"/>
            </w:tcMar>
          </w:tcPr>
          <w:p>
            <w:r>
              <w:rPr>
                <w:rFonts w:ascii="Arial" w:cs="Arial" w:eastAsia="Arial" w:hAnsi="Arial"/>
                <w:b/>
                <w:bCs/>
                <w:color w:val="1D5A2C"/>
                <w:sz w:val="22"/>
                <w:szCs w:val="22"/>
              </w:rPr>
              <w:t xml:space="preserve">WHY THIS MATTERS</w:t>
            </w:r>
          </w:p>
          <w:p>
            <w:pPr>
              <w:spacing w:after="40" w:before="40"/>
            </w:pPr>
            <w:r>
              <w:rPr>
                <w:rFonts w:ascii="Arial" w:cs="Arial" w:eastAsia="Arial" w:hAnsi="Arial"/>
                <w:color w:val="1A1A1A"/>
                <w:sz w:val="20"/>
                <w:szCs w:val="20"/>
              </w:rPr>
              <w:t xml:space="preserve">• The 5-branch spine is the framework everyone in the practice uses. Hypotheses, analyses, data, and slides are all tagged to it.</w:t>
            </w:r>
          </w:p>
          <w:p>
            <w:pPr>
              <w:spacing w:after="40" w:before="40"/>
            </w:pPr>
            <w:r>
              <w:rPr>
                <w:rFonts w:ascii="Arial" w:cs="Arial" w:eastAsia="Arial" w:hAnsi="Arial"/>
                <w:color w:val="1A1A1A"/>
                <w:sz w:val="20"/>
                <w:szCs w:val="20"/>
              </w:rPr>
              <w:t xml:space="preserve">• A diagnostic typically uses 2–4 branches in depth — not all five. Pick during scoping.</w:t>
            </w:r>
          </w:p>
          <w:p>
            <w:pPr>
              <w:spacing w:after="40" w:before="40"/>
            </w:pPr>
            <w:r>
              <w:rPr>
                <w:rFonts w:ascii="Arial" w:cs="Arial" w:eastAsia="Arial" w:hAnsi="Arial"/>
                <w:color w:val="1A1A1A"/>
                <w:sz w:val="20"/>
                <w:szCs w:val="20"/>
              </w:rPr>
              <w:t xml:space="preserve">• Each branch has an owner stakeholder (growth / pricing / sales effectiveness / customer success / GTM org).</w:t>
            </w:r>
          </w:p>
        </w:tc>
      </w:tr>
    </w:tbl>
    <w:p>
      <w:r>
        <w:br w:type="page"/>
      </w:r>
    </w:p>
    <w:p>
      <w:pPr>
        <w:pStyle w:val="Heading1"/>
        <w:spacing w:after="200" w:before="360"/>
      </w:pPr>
      <w:r>
        <w:rPr>
          <w:rFonts w:ascii="Arial" w:cs="Arial" w:eastAsia="Arial" w:hAnsi="Arial"/>
          <w:b/>
          <w:bCs/>
          <w:color w:val="CC0000"/>
          <w:sz w:val="36"/>
          <w:szCs w:val="36"/>
        </w:rPr>
        <w:t xml:space="preserve">Part II — The CE Diagnostic Framework</w:t>
      </w:r>
    </w:p>
    <w:p>
      <w:pPr>
        <w:pStyle w:val="Heading2"/>
        <w:spacing w:after="140" w:before="280"/>
      </w:pPr>
      <w:r>
        <w:rPr>
          <w:rFonts w:ascii="Arial" w:cs="Arial" w:eastAsia="Arial" w:hAnsi="Arial"/>
          <w:b/>
          <w:bCs/>
          <w:color w:val="1F4E79"/>
          <w:sz w:val="28"/>
          <w:szCs w:val="28"/>
        </w:rPr>
        <w:t xml:space="preserve">3. The 5-branch CE spine</w:t>
      </w:r>
    </w:p>
    <w:p>
      <w:pPr>
        <w:spacing w:after="80" w:before="80"/>
      </w:pPr>
      <w:r>
        <w:rPr>
          <w:rFonts w:ascii="Arial" w:cs="Arial" w:eastAsia="Arial" w:hAnsi="Arial"/>
          <w:sz w:val="20"/>
          <w:szCs w:val="20"/>
        </w:rPr>
        <w:t xml:space="preserve">The complete diagnostic spine fits on one page. Pick branches that match the suspected EBITDA gap; pull hypotheses from each; pull analyses from each hypothesis; assemble the storyline.</w:t>
      </w:r>
    </w:p>
    <w:p>
      <w:pPr>
        <w:spacing w:after="80" w:before="160"/>
        <w:jc w:val="center"/>
      </w:pPr>
      <w:r>
        <w:drawing>
          <wp:inline distT="0" distB="0" distL="0" distR="0">
            <wp:extent cx="6667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400050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The 5-branch CE diagnostic spine with first-pass analyses, deep-dive analyses, and decisions supported.</w:t>
      </w:r>
    </w:p>
    <w:p>
      <w:r>
        <w:br w:type="page"/>
      </w:r>
    </w:p>
    <w:p>
      <w:pPr>
        <w:pStyle w:val="Heading3"/>
        <w:spacing w:after="100" w:before="220"/>
      </w:pPr>
      <w:r>
        <w:rPr>
          <w:rFonts w:ascii="Arial" w:cs="Arial" w:eastAsia="Arial" w:hAnsi="Arial"/>
          <w:b/>
          <w:bCs/>
          <w:color w:val="2E75B6"/>
          <w:sz w:val="24"/>
          <w:szCs w:val="24"/>
        </w:rPr>
        <w:t xml:space="preserve">3.1  Branch MKT — Market prioritization &amp; proposition-market fit</w:t>
      </w:r>
    </w:p>
    <w:p>
      <w:pPr>
        <w:spacing w:after="80" w:before="80"/>
      </w:pPr>
      <w:r>
        <w:rPr>
          <w:rFonts w:ascii="Arial" w:cs="Arial" w:eastAsia="Arial" w:hAnsi="Arial"/>
          <w:b/>
          <w:bCs/>
          <w:sz w:val="20"/>
          <w:szCs w:val="20"/>
        </w:rPr>
        <w:t xml:space="preserve">What this branch diagnoses: </w:t>
      </w:r>
      <w:r>
        <w:rPr>
          <w:rFonts w:ascii="Arial" w:cs="Arial" w:eastAsia="Arial" w:hAnsi="Arial"/>
          <w:sz w:val="20"/>
          <w:szCs w:val="20"/>
        </w:rPr>
        <w:t xml:space="preserve">Market attractiveness, where-to-play choices, segment focus and proposition-market fit</w:t>
      </w:r>
    </w:p>
    <w:p>
      <w:pPr>
        <w:spacing w:after="80" w:before="80"/>
      </w:pPr>
      <w:r>
        <w:rPr>
          <w:rFonts w:ascii="Arial" w:cs="Arial" w:eastAsia="Arial" w:hAnsi="Arial"/>
          <w:b/>
          <w:bCs/>
          <w:sz w:val="20"/>
          <w:szCs w:val="20"/>
        </w:rPr>
        <w:t xml:space="preserve">Top-level driver: </w:t>
      </w:r>
      <w:r>
        <w:rPr>
          <w:rFonts w:ascii="Arial" w:cs="Arial" w:eastAsia="Arial" w:hAnsi="Arial"/>
          <w:i/>
          <w:iCs/>
          <w:sz w:val="20"/>
          <w:szCs w:val="20"/>
        </w:rPr>
        <w:t xml:space="preserve">Revenue underperformance is driven by weak market prioritization and/or proposition-market fit</w:t>
      </w:r>
    </w:p>
    <w:p>
      <w:pPr>
        <w:spacing w:after="80" w:before="80"/>
      </w:pPr>
      <w:r>
        <w:rPr>
          <w:rFonts w:ascii="Arial" w:cs="Arial" w:eastAsia="Arial" w:hAnsi="Arial"/>
          <w:b/>
          <w:bCs/>
          <w:sz w:val="20"/>
          <w:szCs w:val="20"/>
        </w:rPr>
        <w:t xml:space="preserve">Primary modules used: </w:t>
      </w:r>
      <w:r>
        <w:rPr>
          <w:rFonts w:ascii="Arial" w:cs="Arial" w:eastAsia="Arial" w:hAnsi="Arial"/>
          <w:sz w:val="20"/>
          <w:szCs w:val="20"/>
        </w:rPr>
        <w:t xml:space="preserve">Customer Analysis; Static pipeline; Employee census</w:t>
      </w:r>
    </w:p>
    <w:p>
      <w:pPr>
        <w:spacing w:after="80" w:before="80"/>
      </w:pPr>
      <w:r>
        <w:rPr>
          <w:rFonts w:ascii="Arial" w:cs="Arial" w:eastAsia="Arial" w:hAnsi="Arial"/>
          <w:b/>
          <w:bCs/>
          <w:sz w:val="20"/>
          <w:szCs w:val="20"/>
        </w:rPr>
        <w:t xml:space="preserve">First-pass analyses: </w:t>
      </w:r>
      <w:r>
        <w:rPr>
          <w:rFonts w:ascii="Arial" w:cs="Arial" w:eastAsia="Arial" w:hAnsi="Arial"/>
          <w:sz w:val="20"/>
          <w:szCs w:val="20"/>
        </w:rPr>
        <w:t xml:space="preserve">TAM by industry/region; whitespace penetration; customer Pareto; new-logo share; coverage vs TAM</w:t>
      </w:r>
    </w:p>
    <w:p>
      <w:pPr>
        <w:spacing w:after="80" w:before="80"/>
      </w:pPr>
      <w:r>
        <w:rPr>
          <w:rFonts w:ascii="Arial" w:cs="Arial" w:eastAsia="Arial" w:hAnsi="Arial"/>
          <w:b/>
          <w:bCs/>
          <w:sz w:val="20"/>
          <w:szCs w:val="20"/>
        </w:rPr>
        <w:t xml:space="preserve">Common gaps to close: </w:t>
      </w:r>
      <w:r>
        <w:rPr>
          <w:rFonts w:ascii="Arial" w:cs="Arial" w:eastAsia="Arial" w:hAnsi="Arial"/>
          <w:sz w:val="20"/>
          <w:szCs w:val="20"/>
        </w:rPr>
        <w:t xml:space="preserve">Win/loss, VOC/NPS, feature-value benchmarking, brand health</w:t>
      </w:r>
    </w:p>
    <w:p>
      <w:pPr>
        <w:spacing w:after="60" w:before="60"/>
      </w:pPr>
      <w:r>
        <w:t xml:space="preserve"/>
      </w:r>
    </w:p>
    <w:p>
      <w:pPr>
        <w:pStyle w:val="Heading4"/>
        <w:spacing w:after="80" w:before="180"/>
      </w:pPr>
      <w:r>
        <w:rPr>
          <w:rFonts w:ascii="Arial" w:cs="Arial" w:eastAsia="Arial" w:hAnsi="Arial"/>
          <w:b/>
          <w:bCs/>
          <w:color w:val="555555"/>
          <w:sz w:val="22"/>
          <w:szCs w:val="22"/>
        </w:rPr>
        <w:t xml:space="preserve">The 5 hypotheses under MKT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100"/>
        <w:gridCol w:w="96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ID</w:t>
            </w:r>
          </w:p>
        </w:tc>
        <w:tc>
          <w:tcPr>
            <w:tcW w:type="dxa" w:w="2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Failure mode</w:t>
            </w:r>
          </w:p>
        </w:tc>
        <w:tc>
          <w:tcPr>
            <w:tcW w:type="dxa" w:w="51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Root-cause hypothesis</w:t>
            </w:r>
          </w:p>
        </w:tc>
        <w:tc>
          <w:tcPr>
            <w:tcW w:type="dxa" w:w="9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Priority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6"/>
                <w:szCs w:val="16"/>
              </w:rPr>
              <w:t xml:space="preserve">MKT-01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Market opportunity and targeting misalignment</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Growth expectations exceed realistic addressable market potential across priority segments/geographies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6"/>
                <w:szCs w:val="16"/>
              </w:rPr>
              <w:t xml:space="preserve">MKT-02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Market opportunity and targeting misalignment</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Commercial resources are not aligned to the highest LTV / highest-potential segments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6"/>
                <w:szCs w:val="16"/>
              </w:rPr>
              <w:t xml:space="preserve">MKT-03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Product/service proposition differentiation gap</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Offering under-delivers on features/capabilities valued by priority segments relative to competitors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Situational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6"/>
                <w:szCs w:val="16"/>
              </w:rPr>
              <w:t xml:space="preserve">MKT-04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Product/service proposition differentiation gap</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Perceived value is misaligned with price positioning, constraining win rates and expansion</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Situational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6"/>
                <w:szCs w:val="16"/>
              </w:rPr>
              <w:t xml:space="preserve">MKT-05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Product/service proposition differentiation gap</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Brand strength and positioning are insufficient to support competitive win rates and premium pricing</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Optional</w:t>
            </w:r>
          </w:p>
        </w:tc>
      </w:tr>
    </w:tbl>
    <w:p>
      <w:r>
        <w:br w:type="page"/>
      </w:r>
    </w:p>
    <w:p>
      <w:pPr>
        <w:pStyle w:val="Heading3"/>
        <w:spacing w:after="100" w:before="220"/>
      </w:pPr>
      <w:r>
        <w:rPr>
          <w:rFonts w:ascii="Arial" w:cs="Arial" w:eastAsia="Arial" w:hAnsi="Arial"/>
          <w:b/>
          <w:bCs/>
          <w:color w:val="2E75B6"/>
          <w:sz w:val="24"/>
          <w:szCs w:val="24"/>
        </w:rPr>
        <w:t xml:space="preserve">3.2  Branch PRC — Price, discounting &amp; mix leakage</w:t>
      </w:r>
    </w:p>
    <w:p>
      <w:pPr>
        <w:spacing w:after="80" w:before="80"/>
      </w:pPr>
      <w:r>
        <w:rPr>
          <w:rFonts w:ascii="Arial" w:cs="Arial" w:eastAsia="Arial" w:hAnsi="Arial"/>
          <w:b/>
          <w:bCs/>
          <w:sz w:val="20"/>
          <w:szCs w:val="20"/>
        </w:rPr>
        <w:t xml:space="preserve">What this branch diagnoses: </w:t>
      </w:r>
      <w:r>
        <w:rPr>
          <w:rFonts w:ascii="Arial" w:cs="Arial" w:eastAsia="Arial" w:hAnsi="Arial"/>
          <w:sz w:val="20"/>
          <w:szCs w:val="20"/>
        </w:rPr>
        <w:t xml:space="preserve">List price, discounting governance, account-level discounting, mix and margin leakage</w:t>
      </w:r>
    </w:p>
    <w:p>
      <w:pPr>
        <w:spacing w:after="80" w:before="80"/>
      </w:pPr>
      <w:r>
        <w:rPr>
          <w:rFonts w:ascii="Arial" w:cs="Arial" w:eastAsia="Arial" w:hAnsi="Arial"/>
          <w:b/>
          <w:bCs/>
          <w:sz w:val="20"/>
          <w:szCs w:val="20"/>
        </w:rPr>
        <w:t xml:space="preserve">Top-level driver: </w:t>
      </w:r>
      <w:r>
        <w:rPr>
          <w:rFonts w:ascii="Arial" w:cs="Arial" w:eastAsia="Arial" w:hAnsi="Arial"/>
          <w:i/>
          <w:iCs/>
          <w:sz w:val="20"/>
          <w:szCs w:val="20"/>
        </w:rPr>
        <w:t xml:space="preserve">EBITDA underperformance is driven by price, discounting and mix leakage</w:t>
      </w:r>
    </w:p>
    <w:p>
      <w:pPr>
        <w:spacing w:after="80" w:before="80"/>
      </w:pPr>
      <w:r>
        <w:rPr>
          <w:rFonts w:ascii="Arial" w:cs="Arial" w:eastAsia="Arial" w:hAnsi="Arial"/>
          <w:b/>
          <w:bCs/>
          <w:sz w:val="20"/>
          <w:szCs w:val="20"/>
        </w:rPr>
        <w:t xml:space="preserve">Primary modules used: </w:t>
      </w:r>
      <w:r>
        <w:rPr>
          <w:rFonts w:ascii="Arial" w:cs="Arial" w:eastAsia="Arial" w:hAnsi="Arial"/>
          <w:sz w:val="20"/>
          <w:szCs w:val="20"/>
        </w:rPr>
        <w:t xml:space="preserve">Pricing; Customer Analysis; Employee performance; Static pipeline</w:t>
      </w:r>
    </w:p>
    <w:p>
      <w:pPr>
        <w:spacing w:after="80" w:before="80"/>
      </w:pPr>
      <w:r>
        <w:rPr>
          <w:rFonts w:ascii="Arial" w:cs="Arial" w:eastAsia="Arial" w:hAnsi="Arial"/>
          <w:b/>
          <w:bCs/>
          <w:sz w:val="20"/>
          <w:szCs w:val="20"/>
        </w:rPr>
        <w:t xml:space="preserve">First-pass analyses: </w:t>
      </w:r>
      <w:r>
        <w:rPr>
          <w:rFonts w:ascii="Arial" w:cs="Arial" w:eastAsia="Arial" w:hAnsi="Arial"/>
          <w:sz w:val="20"/>
          <w:szCs w:val="20"/>
        </w:rPr>
        <w:t xml:space="preserve">Pricing UVA; customer/product movement; product mix per rep; win-rate vs price/discount</w:t>
      </w:r>
    </w:p>
    <w:p>
      <w:pPr>
        <w:spacing w:after="80" w:before="80"/>
      </w:pPr>
      <w:r>
        <w:rPr>
          <w:rFonts w:ascii="Arial" w:cs="Arial" w:eastAsia="Arial" w:hAnsi="Arial"/>
          <w:b/>
          <w:bCs/>
          <w:sz w:val="20"/>
          <w:szCs w:val="20"/>
        </w:rPr>
        <w:t xml:space="preserve">Common gaps to close: </w:t>
      </w:r>
      <w:r>
        <w:rPr>
          <w:rFonts w:ascii="Arial" w:cs="Arial" w:eastAsia="Arial" w:hAnsi="Arial"/>
          <w:sz w:val="20"/>
          <w:szCs w:val="20"/>
        </w:rPr>
        <w:t xml:space="preserve">WTP/elasticity, price waterfall, SKU margin, channel margin, price architecture</w:t>
      </w:r>
    </w:p>
    <w:p>
      <w:pPr>
        <w:spacing w:after="60" w:before="60"/>
      </w:pPr>
      <w:r>
        <w:t xml:space="preserve"/>
      </w:r>
    </w:p>
    <w:p>
      <w:pPr>
        <w:pStyle w:val="Heading4"/>
        <w:spacing w:after="80" w:before="180"/>
      </w:pPr>
      <w:r>
        <w:rPr>
          <w:rFonts w:ascii="Arial" w:cs="Arial" w:eastAsia="Arial" w:hAnsi="Arial"/>
          <w:b/>
          <w:bCs/>
          <w:color w:val="555555"/>
          <w:sz w:val="22"/>
          <w:szCs w:val="22"/>
        </w:rPr>
        <w:t xml:space="preserve">The 8 hypotheses under PRC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100"/>
        <w:gridCol w:w="96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ID</w:t>
            </w:r>
          </w:p>
        </w:tc>
        <w:tc>
          <w:tcPr>
            <w:tcW w:type="dxa" w:w="2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Failure mode</w:t>
            </w:r>
          </w:p>
        </w:tc>
        <w:tc>
          <w:tcPr>
            <w:tcW w:type="dxa" w:w="51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Root-cause hypothesis</w:t>
            </w:r>
          </w:p>
        </w:tc>
        <w:tc>
          <w:tcPr>
            <w:tcW w:type="dxa" w:w="9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Priority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6"/>
                <w:szCs w:val="16"/>
              </w:rPr>
              <w:t xml:space="preserve">PRC-01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List price optimization gap</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List prices are set below willingness-to-pay and peer benchmarks, constraining margin potential</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6"/>
                <w:szCs w:val="16"/>
              </w:rPr>
              <w:t xml:space="preserve">PRC-02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Price architecture and tiering gap</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Price architecture and tiering are inconsistent, creating revenue leakage and margin compression</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Situational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6"/>
                <w:szCs w:val="16"/>
              </w:rPr>
              <w:t xml:space="preserve">PRC-03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Discount governance leakage</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Weak discount governance enables concessions without incremental volume benefit</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6"/>
                <w:szCs w:val="16"/>
              </w:rPr>
              <w:t xml:space="preserve">PRC-04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Discount governance leakage</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Significant discount variance across reps indicates inconsistent pricing discipline</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6"/>
                <w:szCs w:val="16"/>
              </w:rPr>
              <w:t xml:space="preserve">PRC-05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Account discount leakage</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Large or strategic accounts receive disproportionate discounts not justified by volume, margin or strategic value</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6"/>
                <w:szCs w:val="16"/>
              </w:rPr>
              <w:t xml:space="preserve">PRC-06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Mix-driven margin leakage</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Revenue mix has shifted toward lower-margin SKUs/products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6"/>
                <w:szCs w:val="16"/>
              </w:rPr>
              <w:t xml:space="preserve">PRC-07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Channel mix leakage</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Revenue mix has shifted toward lower-margin or lower-productivity channels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Situational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6"/>
                <w:szCs w:val="16"/>
              </w:rPr>
              <w:t xml:space="preserve">PRC-08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Segment mix leakage</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Growth is concentrated in lower-margin or lower-LTV segments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bl>
    <w:p>
      <w:r>
        <w:br w:type="page"/>
      </w:r>
    </w:p>
    <w:p>
      <w:pPr>
        <w:pStyle w:val="Heading3"/>
        <w:spacing w:after="100" w:before="220"/>
      </w:pPr>
      <w:r>
        <w:rPr>
          <w:rFonts w:ascii="Arial" w:cs="Arial" w:eastAsia="Arial" w:hAnsi="Arial"/>
          <w:b/>
          <w:bCs/>
          <w:color w:val="2E75B6"/>
          <w:sz w:val="24"/>
          <w:szCs w:val="24"/>
        </w:rPr>
        <w:t xml:space="preserve">3.3  Branch NRP — New revenue productivity</w:t>
      </w:r>
    </w:p>
    <w:p>
      <w:pPr>
        <w:spacing w:after="80" w:before="80"/>
      </w:pPr>
      <w:r>
        <w:rPr>
          <w:rFonts w:ascii="Arial" w:cs="Arial" w:eastAsia="Arial" w:hAnsi="Arial"/>
          <w:b/>
          <w:bCs/>
          <w:sz w:val="20"/>
          <w:szCs w:val="20"/>
        </w:rPr>
        <w:t xml:space="preserve">What this branch diagnoses: </w:t>
      </w:r>
      <w:r>
        <w:rPr>
          <w:rFonts w:ascii="Arial" w:cs="Arial" w:eastAsia="Arial" w:hAnsi="Arial"/>
          <w:sz w:val="20"/>
          <w:szCs w:val="20"/>
        </w:rPr>
        <w:t xml:space="preserve">Pipeline generation, conversion, rep productivity, quota/incentives, territory, role and channel productivity</w:t>
      </w:r>
    </w:p>
    <w:p>
      <w:pPr>
        <w:spacing w:after="80" w:before="80"/>
      </w:pPr>
      <w:r>
        <w:rPr>
          <w:rFonts w:ascii="Arial" w:cs="Arial" w:eastAsia="Arial" w:hAnsi="Arial"/>
          <w:b/>
          <w:bCs/>
          <w:sz w:val="20"/>
          <w:szCs w:val="20"/>
        </w:rPr>
        <w:t xml:space="preserve">Top-level driver: </w:t>
      </w:r>
      <w:r>
        <w:rPr>
          <w:rFonts w:ascii="Arial" w:cs="Arial" w:eastAsia="Arial" w:hAnsi="Arial"/>
          <w:i/>
          <w:iCs/>
          <w:sz w:val="20"/>
          <w:szCs w:val="20"/>
        </w:rPr>
        <w:t xml:space="preserve">New revenue generated per unit of commercial capacity is below benchmark</w:t>
      </w:r>
    </w:p>
    <w:p>
      <w:pPr>
        <w:spacing w:after="80" w:before="80"/>
      </w:pPr>
      <w:r>
        <w:rPr>
          <w:rFonts w:ascii="Arial" w:cs="Arial" w:eastAsia="Arial" w:hAnsi="Arial"/>
          <w:b/>
          <w:bCs/>
          <w:sz w:val="20"/>
          <w:szCs w:val="20"/>
        </w:rPr>
        <w:t xml:space="preserve">Primary modules used: </w:t>
      </w:r>
      <w:r>
        <w:rPr>
          <w:rFonts w:ascii="Arial" w:cs="Arial" w:eastAsia="Arial" w:hAnsi="Arial"/>
          <w:sz w:val="20"/>
          <w:szCs w:val="20"/>
        </w:rPr>
        <w:t xml:space="preserve">Static pipeline; Pipeline movement; Employee performance; Employee census; Compensation</w:t>
      </w:r>
    </w:p>
    <w:p>
      <w:pPr>
        <w:spacing w:after="80" w:before="80"/>
      </w:pPr>
      <w:r>
        <w:rPr>
          <w:rFonts w:ascii="Arial" w:cs="Arial" w:eastAsia="Arial" w:hAnsi="Arial"/>
          <w:b/>
          <w:bCs/>
          <w:sz w:val="20"/>
          <w:szCs w:val="20"/>
        </w:rPr>
        <w:t xml:space="preserve">First-pass analyses: </w:t>
      </w:r>
      <w:r>
        <w:rPr>
          <w:rFonts w:ascii="Arial" w:cs="Arial" w:eastAsia="Arial" w:hAnsi="Arial"/>
          <w:sz w:val="20"/>
          <w:szCs w:val="20"/>
        </w:rPr>
        <w:t xml:space="preserve">Pipeline coverage; win rate; stage aging; rep productivity; quota attainment; comp vs attainment</w:t>
      </w:r>
    </w:p>
    <w:p>
      <w:pPr>
        <w:spacing w:after="80" w:before="80"/>
      </w:pPr>
      <w:r>
        <w:rPr>
          <w:rFonts w:ascii="Arial" w:cs="Arial" w:eastAsia="Arial" w:hAnsi="Arial"/>
          <w:b/>
          <w:bCs/>
          <w:sz w:val="20"/>
          <w:szCs w:val="20"/>
        </w:rPr>
        <w:t xml:space="preserve">Common gaps to close: </w:t>
      </w:r>
      <w:r>
        <w:rPr>
          <w:rFonts w:ascii="Arial" w:cs="Arial" w:eastAsia="Arial" w:hAnsi="Arial"/>
          <w:sz w:val="20"/>
          <w:szCs w:val="20"/>
        </w:rPr>
        <w:t xml:space="preserve">Time allocation, channel economics, cost-to-serve, overlay ROI</w:t>
      </w:r>
    </w:p>
    <w:p>
      <w:pPr>
        <w:spacing w:after="60" w:before="60"/>
      </w:pPr>
      <w:r>
        <w:t xml:space="preserve"/>
      </w:r>
    </w:p>
    <w:p>
      <w:pPr>
        <w:pStyle w:val="Heading4"/>
        <w:spacing w:after="80" w:before="180"/>
      </w:pPr>
      <w:r>
        <w:rPr>
          <w:rFonts w:ascii="Arial" w:cs="Arial" w:eastAsia="Arial" w:hAnsi="Arial"/>
          <w:b/>
          <w:bCs/>
          <w:color w:val="555555"/>
          <w:sz w:val="22"/>
          <w:szCs w:val="22"/>
        </w:rPr>
        <w:t xml:space="preserve">The 10 hypotheses under NRP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100"/>
        <w:gridCol w:w="96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ID</w:t>
            </w:r>
          </w:p>
        </w:tc>
        <w:tc>
          <w:tcPr>
            <w:tcW w:type="dxa" w:w="2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Failure mode</w:t>
            </w:r>
          </w:p>
        </w:tc>
        <w:tc>
          <w:tcPr>
            <w:tcW w:type="dxa" w:w="51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Root-cause hypothesis</w:t>
            </w:r>
          </w:p>
        </w:tc>
        <w:tc>
          <w:tcPr>
            <w:tcW w:type="dxa" w:w="9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Priority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Demand generation gap</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Insufficient or low-quality pipeline generation constrains revenue growth in priority segments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Conversion effectiveness gap</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Below-benchmark funnel conversion and/or extended sales cycles reduce revenue realization</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Rep productivity dispersion</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Large performance variance across reps indicates inconsistent execution standards and missed best-practice scaling</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Incentive and target misalignment</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 design and target-setting are not aligned to strategic growth and profitability objectives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Time allocation inefficiency</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Excessive non-selling activity dilutes effective selling capacity</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Situational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NRP-06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Territory design imbalance</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Territory design results in over/under-loaded reps and missed high-potential accounts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NRP-07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Capacity vs segment value misalignment</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Commercial capacity and cost-to-serve are misaligned with segment value potential</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NRP-08</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Channel mix productivity gap</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Current channel mix is suboptimal relative to segment economics and buying behavior</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Situational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NRP-09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Sales role/archetype misalignment</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Sales role design and archetypes are misaligned with buying complexity and growth strategy</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Situational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Cost-to-serve dispersion</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Cost-to-serve varies materially across customers/segments without matching revenue or margin contribution</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Situational</w:t>
            </w:r>
          </w:p>
        </w:tc>
      </w:tr>
    </w:tbl>
    <w:p>
      <w:r>
        <w:br w:type="page"/>
      </w:r>
    </w:p>
    <w:p>
      <w:pPr>
        <w:pStyle w:val="Heading3"/>
        <w:spacing w:after="100" w:before="220"/>
      </w:pPr>
      <w:r>
        <w:rPr>
          <w:rFonts w:ascii="Arial" w:cs="Arial" w:eastAsia="Arial" w:hAnsi="Arial"/>
          <w:b/>
          <w:bCs/>
          <w:color w:val="2E75B6"/>
          <w:sz w:val="24"/>
          <w:szCs w:val="24"/>
        </w:rPr>
        <w:t xml:space="preserve">3.4  Branch IBV — Installed-base value, retention &amp; expansion</w:t>
      </w:r>
    </w:p>
    <w:p>
      <w:pPr>
        <w:spacing w:after="80" w:before="80"/>
      </w:pPr>
      <w:r>
        <w:rPr>
          <w:rFonts w:ascii="Arial" w:cs="Arial" w:eastAsia="Arial" w:hAnsi="Arial"/>
          <w:b/>
          <w:bCs/>
          <w:sz w:val="20"/>
          <w:szCs w:val="20"/>
        </w:rPr>
        <w:t xml:space="preserve">What this branch diagnoses: </w:t>
      </w:r>
      <w:r>
        <w:rPr>
          <w:rFonts w:ascii="Arial" w:cs="Arial" w:eastAsia="Arial" w:hAnsi="Arial"/>
          <w:sz w:val="20"/>
          <w:szCs w:val="20"/>
        </w:rPr>
        <w:t xml:space="preserve">Retention, renewal, cross-sell, upsell, installed-base coverage and account planning</w:t>
      </w:r>
    </w:p>
    <w:p>
      <w:pPr>
        <w:spacing w:after="80" w:before="80"/>
      </w:pPr>
      <w:r>
        <w:rPr>
          <w:rFonts w:ascii="Arial" w:cs="Arial" w:eastAsia="Arial" w:hAnsi="Arial"/>
          <w:b/>
          <w:bCs/>
          <w:sz w:val="20"/>
          <w:szCs w:val="20"/>
        </w:rPr>
        <w:t xml:space="preserve">Top-level driver: </w:t>
      </w:r>
      <w:r>
        <w:rPr>
          <w:rFonts w:ascii="Arial" w:cs="Arial" w:eastAsia="Arial" w:hAnsi="Arial"/>
          <w:i/>
          <w:iCs/>
          <w:sz w:val="20"/>
          <w:szCs w:val="20"/>
        </w:rPr>
        <w:t xml:space="preserve">Installed-base lifetime value is below potential due to weak retention, expansion or coverage</w:t>
      </w:r>
    </w:p>
    <w:p>
      <w:pPr>
        <w:spacing w:after="80" w:before="80"/>
      </w:pPr>
      <w:r>
        <w:rPr>
          <w:rFonts w:ascii="Arial" w:cs="Arial" w:eastAsia="Arial" w:hAnsi="Arial"/>
          <w:b/>
          <w:bCs/>
          <w:sz w:val="20"/>
          <w:szCs w:val="20"/>
        </w:rPr>
        <w:t xml:space="preserve">Primary modules used: </w:t>
      </w:r>
      <w:r>
        <w:rPr>
          <w:rFonts w:ascii="Arial" w:cs="Arial" w:eastAsia="Arial" w:hAnsi="Arial"/>
          <w:sz w:val="20"/>
          <w:szCs w:val="20"/>
        </w:rPr>
        <w:t xml:space="preserve">Customer Analysis; Employee census; Static pipeline</w:t>
      </w:r>
    </w:p>
    <w:p>
      <w:pPr>
        <w:spacing w:after="80" w:before="80"/>
      </w:pPr>
      <w:r>
        <w:rPr>
          <w:rFonts w:ascii="Arial" w:cs="Arial" w:eastAsia="Arial" w:hAnsi="Arial"/>
          <w:b/>
          <w:bCs/>
          <w:sz w:val="20"/>
          <w:szCs w:val="20"/>
        </w:rPr>
        <w:t xml:space="preserve">First-pass analyses: </w:t>
      </w:r>
      <w:r>
        <w:rPr>
          <w:rFonts w:ascii="Arial" w:cs="Arial" w:eastAsia="Arial" w:hAnsi="Arial"/>
          <w:sz w:val="20"/>
          <w:szCs w:val="20"/>
        </w:rPr>
        <w:t xml:space="preserve">GRR/NRR; upsell/cross-sell; multi-product adoption; top account growth; coverage ratios</w:t>
      </w:r>
    </w:p>
    <w:p>
      <w:pPr>
        <w:spacing w:after="80" w:before="80"/>
      </w:pPr>
      <w:r>
        <w:rPr>
          <w:rFonts w:ascii="Arial" w:cs="Arial" w:eastAsia="Arial" w:hAnsi="Arial"/>
          <w:b/>
          <w:bCs/>
          <w:sz w:val="20"/>
          <w:szCs w:val="20"/>
        </w:rPr>
        <w:t xml:space="preserve">Common gaps to close: </w:t>
      </w:r>
      <w:r>
        <w:rPr>
          <w:rFonts w:ascii="Arial" w:cs="Arial" w:eastAsia="Arial" w:hAnsi="Arial"/>
          <w:sz w:val="20"/>
          <w:szCs w:val="20"/>
        </w:rPr>
        <w:t xml:space="preserve">Renewal process, account plan audit, CX/NPS support friction</w:t>
      </w:r>
    </w:p>
    <w:p>
      <w:pPr>
        <w:spacing w:after="60" w:before="60"/>
      </w:pPr>
      <w:r>
        <w:t xml:space="preserve"/>
      </w:r>
    </w:p>
    <w:p>
      <w:pPr>
        <w:pStyle w:val="Heading4"/>
        <w:spacing w:after="80" w:before="180"/>
      </w:pPr>
      <w:r>
        <w:rPr>
          <w:rFonts w:ascii="Arial" w:cs="Arial" w:eastAsia="Arial" w:hAnsi="Arial"/>
          <w:b/>
          <w:bCs/>
          <w:color w:val="555555"/>
          <w:sz w:val="22"/>
          <w:szCs w:val="22"/>
        </w:rPr>
        <w:t xml:space="preserve">The 5 hypotheses under IBV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100"/>
        <w:gridCol w:w="96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ID</w:t>
            </w:r>
          </w:p>
        </w:tc>
        <w:tc>
          <w:tcPr>
            <w:tcW w:type="dxa" w:w="2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Failure mode</w:t>
            </w:r>
          </w:p>
        </w:tc>
        <w:tc>
          <w:tcPr>
            <w:tcW w:type="dxa" w:w="51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Root-cause hypothesis</w:t>
            </w:r>
          </w:p>
        </w:tc>
        <w:tc>
          <w:tcPr>
            <w:tcW w:type="dxa" w:w="9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Priority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6"/>
                <w:szCs w:val="16"/>
              </w:rPr>
              <w:t xml:space="preserve">IBV-01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Expansion effectiveness gap</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Existing customers are under-penetrated relative to share-of-wallet potential</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6"/>
                <w:szCs w:val="16"/>
              </w:rPr>
              <w:t xml:space="preserve">IBV-02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Account planning weakness</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Weak account tiering and planning limit expansion in high-value accounts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6"/>
                <w:szCs w:val="16"/>
              </w:rPr>
              <w:t xml:space="preserve">IBV-03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Renewal process weakness</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Weak renewal processes drive preventable churn</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6"/>
                <w:szCs w:val="16"/>
              </w:rPr>
              <w:t xml:space="preserve">IBV-04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Customer experience gap</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experience gaps contribute to churn and limit expansion</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Situational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6"/>
                <w:szCs w:val="16"/>
              </w:rPr>
              <w:t xml:space="preserve">IBV-05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Installed-base coverage misalignment</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High-value accounts are under-served relative to economic potential</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bl>
    <w:p>
      <w:r>
        <w:br w:type="page"/>
      </w:r>
    </w:p>
    <w:p>
      <w:pPr>
        <w:pStyle w:val="Heading3"/>
        <w:spacing w:after="100" w:before="220"/>
      </w:pPr>
      <w:r>
        <w:rPr>
          <w:rFonts w:ascii="Arial" w:cs="Arial" w:eastAsia="Arial" w:hAnsi="Arial"/>
          <w:b/>
          <w:bCs/>
          <w:color w:val="2E75B6"/>
          <w:sz w:val="24"/>
          <w:szCs w:val="24"/>
        </w:rPr>
        <w:t xml:space="preserve">3.5  Branch COST — S&amp;M cost structure &amp; commercial capacity</w:t>
      </w:r>
    </w:p>
    <w:p>
      <w:pPr>
        <w:spacing w:after="80" w:before="80"/>
      </w:pPr>
      <w:r>
        <w:rPr>
          <w:rFonts w:ascii="Arial" w:cs="Arial" w:eastAsia="Arial" w:hAnsi="Arial"/>
          <w:b/>
          <w:bCs/>
          <w:sz w:val="20"/>
          <w:szCs w:val="20"/>
        </w:rPr>
        <w:t xml:space="preserve">What this branch diagnoses: </w:t>
      </w:r>
      <w:r>
        <w:rPr>
          <w:rFonts w:ascii="Arial" w:cs="Arial" w:eastAsia="Arial" w:hAnsi="Arial"/>
          <w:sz w:val="20"/>
          <w:szCs w:val="20"/>
        </w:rPr>
        <w:t xml:space="preserve">FTE scale, spans/layers, support ratios, compensation cost, marketing/tool/agency spend efficiency</w:t>
      </w:r>
    </w:p>
    <w:p>
      <w:pPr>
        <w:spacing w:after="80" w:before="80"/>
      </w:pPr>
      <w:r>
        <w:rPr>
          <w:rFonts w:ascii="Arial" w:cs="Arial" w:eastAsia="Arial" w:hAnsi="Arial"/>
          <w:b/>
          <w:bCs/>
          <w:sz w:val="20"/>
          <w:szCs w:val="20"/>
        </w:rPr>
        <w:t xml:space="preserve">Top-level driver: </w:t>
      </w:r>
      <w:r>
        <w:rPr>
          <w:rFonts w:ascii="Arial" w:cs="Arial" w:eastAsia="Arial" w:hAnsi="Arial"/>
          <w:i/>
          <w:iCs/>
          <w:sz w:val="20"/>
          <w:szCs w:val="20"/>
        </w:rPr>
        <w:t xml:space="preserve">Commercial cost structure is inflated relative to revenue productivity and economic potential</w:t>
      </w:r>
    </w:p>
    <w:p>
      <w:pPr>
        <w:spacing w:after="80" w:before="80"/>
      </w:pPr>
      <w:r>
        <w:rPr>
          <w:rFonts w:ascii="Arial" w:cs="Arial" w:eastAsia="Arial" w:hAnsi="Arial"/>
          <w:b/>
          <w:bCs/>
          <w:sz w:val="20"/>
          <w:szCs w:val="20"/>
        </w:rPr>
        <w:t xml:space="preserve">Primary modules used: </w:t>
      </w:r>
      <w:r>
        <w:rPr>
          <w:rFonts w:ascii="Arial" w:cs="Arial" w:eastAsia="Arial" w:hAnsi="Arial"/>
          <w:sz w:val="20"/>
          <w:szCs w:val="20"/>
        </w:rPr>
        <w:t xml:space="preserve">Employee census; Compensation; Outside-in diagnostics; Employee performance</w:t>
      </w:r>
    </w:p>
    <w:p>
      <w:pPr>
        <w:spacing w:after="80" w:before="80"/>
      </w:pPr>
      <w:r>
        <w:rPr>
          <w:rFonts w:ascii="Arial" w:cs="Arial" w:eastAsia="Arial" w:hAnsi="Arial"/>
          <w:b/>
          <w:bCs/>
          <w:sz w:val="20"/>
          <w:szCs w:val="20"/>
        </w:rPr>
        <w:t xml:space="preserve">First-pass analyses: </w:t>
      </w:r>
      <w:r>
        <w:rPr>
          <w:rFonts w:ascii="Arial" w:cs="Arial" w:eastAsia="Arial" w:hAnsi="Arial"/>
          <w:sz w:val="20"/>
          <w:szCs w:val="20"/>
        </w:rPr>
        <w:t xml:space="preserve">S&amp;M/SG&amp;A % revenue; FTE/$10M; spans/layers; OTE benchmarks; ROI per rep; Magic Number</w:t>
      </w:r>
    </w:p>
    <w:p>
      <w:pPr>
        <w:spacing w:after="80" w:before="80"/>
      </w:pPr>
      <w:r>
        <w:rPr>
          <w:rFonts w:ascii="Arial" w:cs="Arial" w:eastAsia="Arial" w:hAnsi="Arial"/>
          <w:b/>
          <w:bCs/>
          <w:sz w:val="20"/>
          <w:szCs w:val="20"/>
        </w:rPr>
        <w:t xml:space="preserve">Common gaps to close: </w:t>
      </w:r>
      <w:r>
        <w:rPr>
          <w:rFonts w:ascii="Arial" w:cs="Arial" w:eastAsia="Arial" w:hAnsi="Arial"/>
          <w:sz w:val="20"/>
          <w:szCs w:val="20"/>
        </w:rPr>
        <w:t xml:space="preserve">Marketing ROI attribution; tool/agency/vendor ROI</w:t>
      </w:r>
    </w:p>
    <w:p>
      <w:pPr>
        <w:spacing w:after="60" w:before="60"/>
      </w:pPr>
      <w:r>
        <w:t xml:space="preserve"/>
      </w:r>
    </w:p>
    <w:p>
      <w:pPr>
        <w:pStyle w:val="Heading4"/>
        <w:spacing w:after="80" w:before="180"/>
      </w:pPr>
      <w:r>
        <w:rPr>
          <w:rFonts w:ascii="Arial" w:cs="Arial" w:eastAsia="Arial" w:hAnsi="Arial"/>
          <w:b/>
          <w:bCs/>
          <w:color w:val="555555"/>
          <w:sz w:val="22"/>
          <w:szCs w:val="22"/>
        </w:rPr>
        <w:t xml:space="preserve">The 6 hypotheses under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5100"/>
        <w:gridCol w:w="960"/>
      </w:tblGrid>
      <w:tr>
        <w:trPr>
          <w:tblHeader/>
        </w:trPr>
        <w:tc>
          <w:tcPr>
            <w:tcW w:type="dxa" w:w="9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ID</w:t>
            </w:r>
          </w:p>
        </w:tc>
        <w:tc>
          <w:tcPr>
            <w:tcW w:type="dxa" w:w="2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Failure mode</w:t>
            </w:r>
          </w:p>
        </w:tc>
        <w:tc>
          <w:tcPr>
            <w:tcW w:type="dxa" w:w="51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Root-cause hypothesis</w:t>
            </w:r>
          </w:p>
        </w:tc>
        <w:tc>
          <w:tcPr>
            <w:tcW w:type="dxa" w:w="9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Priority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6"/>
                <w:szCs w:val="16"/>
              </w:rPr>
              <w:t xml:space="preserve">COST-01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Frontline capacity inflation</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Sales capacity exceeds sustainable revenue potential</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6"/>
                <w:szCs w:val="16"/>
              </w:rPr>
              <w:t xml:space="preserve">COST-02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Org complexity / spans-layers</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Redundant roles and excessive spans/layers inflate S&amp;M cost</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6"/>
                <w:szCs w:val="16"/>
              </w:rPr>
              <w:t xml:space="preserve">COST-03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Compensation cost inflation</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 levels are misaligned with market benchmarks and productivity levels</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6"/>
                <w:szCs w:val="16"/>
              </w:rPr>
              <w:t xml:space="preserve">COST-04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Sales support overbuild</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Too many sales support staff or inefficient support ratios inflate S&amp;M cost</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6"/>
                <w:szCs w:val="16"/>
              </w:rPr>
              <w:t xml:space="preserve">COST-05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Marketing spend inefficiency</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Fragmented or duplicative marketing investments deliver suboptimal ROI</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6"/>
                <w:szCs w:val="16"/>
              </w:rPr>
              <w:t xml:space="preserve">COST-06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Commercial tools / agencies / tech overspend</w:t>
            </w:r>
          </w:p>
        </w:tc>
        <w:tc>
          <w:tcPr>
            <w:tcW w:type="dxa" w:w="5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Commercial tools, agencies and technology spend exceed value delivered</w:t>
            </w:r>
          </w:p>
        </w:tc>
        <w:tc>
          <w:tcPr>
            <w:tcW w:type="dxa" w:w="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Optional</w:t>
            </w:r>
          </w:p>
        </w:tc>
      </w:tr>
    </w:tbl>
    <w:p>
      <w:r>
        <w:br w:type="page"/>
      </w:r>
    </w:p>
    <w:p>
      <w:pPr>
        <w:pStyle w:val="Heading2"/>
        <w:spacing w:after="140" w:before="280"/>
      </w:pPr>
      <w:r>
        <w:rPr>
          <w:rFonts w:ascii="Arial" w:cs="Arial" w:eastAsia="Arial" w:hAnsi="Arial"/>
          <w:b/>
          <w:bCs/>
          <w:color w:val="1F4E79"/>
          <w:sz w:val="28"/>
          <w:szCs w:val="28"/>
        </w:rPr>
        <w:t xml:space="preserve">4. The 34 hypotheses — full catalog</w:t>
      </w:r>
    </w:p>
    <w:p>
      <w:pPr>
        <w:spacing w:after="80" w:before="80"/>
      </w:pPr>
      <w:r>
        <w:rPr>
          <w:rFonts w:ascii="Arial" w:cs="Arial" w:eastAsia="Arial" w:hAnsi="Arial"/>
          <w:sz w:val="20"/>
          <w:szCs w:val="20"/>
        </w:rPr>
        <w:t xml:space="preserve">Each hypothesis is a testable statement (not an analysis). The diagnostic question reframes it for the client conversation; the tests are the analyses you actually run.</w:t>
      </w:r>
    </w:p>
    <w:p>
      <w:pPr>
        <w:spacing w:after="60" w:before="60"/>
      </w:pPr>
      <w:r>
        <w:t xml:space="preserve"/>
      </w:r>
    </w:p>
    <w:p>
      <w:pPr>
        <w:pStyle w:val="Heading3"/>
        <w:spacing w:after="100" w:before="220"/>
      </w:pPr>
      <w:r>
        <w:rPr>
          <w:rFonts w:ascii="Arial" w:cs="Arial" w:eastAsia="Arial" w:hAnsi="Arial"/>
          <w:b/>
          <w:bCs/>
          <w:color w:val="2E75B6"/>
          <w:sz w:val="24"/>
          <w:szCs w:val="24"/>
        </w:rPr>
        <w:t xml:space="preserve">MKT — Market prioritization &amp; proposition-market fit</w:t>
      </w:r>
    </w:p>
    <w:p>
      <w:pPr>
        <w:spacing w:after="30" w:before="100"/>
      </w:pPr>
      <w:r>
        <w:rPr>
          <w:rFonts w:ascii="Arial" w:cs="Arial" w:eastAsia="Arial" w:hAnsi="Arial"/>
          <w:b/>
          <w:bCs/>
          <w:color w:val="2D7D3F"/>
          <w:sz w:val="20"/>
          <w:szCs w:val="20"/>
        </w:rPr>
        <w:t xml:space="preserve">MKT-01  </w:t>
      </w:r>
      <w:r>
        <w:rPr>
          <w:rFonts w:ascii="Arial" w:cs="Arial" w:eastAsia="Arial" w:hAnsi="Arial"/>
          <w:b/>
          <w:bCs/>
          <w:sz w:val="20"/>
          <w:szCs w:val="20"/>
        </w:rPr>
        <w:t xml:space="preserve">Market opportunity and targeting misalignment — </w:t>
      </w:r>
      <w:r>
        <w:rPr>
          <w:rFonts w:ascii="Arial" w:cs="Arial" w:eastAsia="Arial" w:hAnsi="Arial"/>
          <w:sz w:val="20"/>
          <w:szCs w:val="20"/>
        </w:rPr>
        <w:t xml:space="preserve">Growth expectations exceed realistic addressable market potential across priority segments/geographies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the plan asking the business to grow faster than realistic TAM, whitespace, or segment demand allows?</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TAM / whitespace by segment and geography; growth plan vs market growth; competitive density; current coverage vs attractive market map</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2D7D3F"/>
          <w:sz w:val="20"/>
          <w:szCs w:val="20"/>
        </w:rPr>
        <w:t xml:space="preserve">MKT-02  </w:t>
      </w:r>
      <w:r>
        <w:rPr>
          <w:rFonts w:ascii="Arial" w:cs="Arial" w:eastAsia="Arial" w:hAnsi="Arial"/>
          <w:b/>
          <w:bCs/>
          <w:sz w:val="20"/>
          <w:szCs w:val="20"/>
        </w:rPr>
        <w:t xml:space="preserve">Market opportunity and targeting misalignment — </w:t>
      </w:r>
      <w:r>
        <w:rPr>
          <w:rFonts w:ascii="Arial" w:cs="Arial" w:eastAsia="Arial" w:hAnsi="Arial"/>
          <w:sz w:val="20"/>
          <w:szCs w:val="20"/>
        </w:rPr>
        <w:t xml:space="preserve">Commercial resources are not aligned to the highest LTV / highest-potential segments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FTEs, sellers, marketing spend, and coverage intensity aligned to the segments/accounts with the highest LTV and growth potential?</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Customer LTV/profitability by segment; TAM by segment; coverage / FTE allocation; pipeline and bookings by segment</w:t>
      </w:r>
    </w:p>
    <w:p>
      <w:pPr>
        <w:spacing w:after="60" w:before="20"/>
      </w:pPr>
      <w:r>
        <w:rPr>
          <w:rFonts w:ascii="Arial" w:cs="Arial" w:eastAsia="Arial" w:hAnsi="Arial"/>
          <w:i/>
          <w:iCs/>
          <w:sz w:val="20"/>
          <w:szCs w:val="20"/>
        </w:rPr>
        <w:t xml:space="preserve">Catalog coverage: Strong  ·  Priority: Core</w:t>
      </w:r>
    </w:p>
    <w:p>
      <w:pPr>
        <w:spacing w:after="30" w:before="100"/>
      </w:pPr>
      <w:r>
        <w:rPr>
          <w:rFonts w:ascii="Arial" w:cs="Arial" w:eastAsia="Arial" w:hAnsi="Arial"/>
          <w:b/>
          <w:bCs/>
          <w:color w:val="2D7D3F"/>
          <w:sz w:val="20"/>
          <w:szCs w:val="20"/>
        </w:rPr>
        <w:t xml:space="preserve">MKT-03  </w:t>
      </w:r>
      <w:r>
        <w:rPr>
          <w:rFonts w:ascii="Arial" w:cs="Arial" w:eastAsia="Arial" w:hAnsi="Arial"/>
          <w:b/>
          <w:bCs/>
          <w:sz w:val="20"/>
          <w:szCs w:val="20"/>
        </w:rPr>
        <w:t xml:space="preserve">Product/service proposition differentiation gap — </w:t>
      </w:r>
      <w:r>
        <w:rPr>
          <w:rFonts w:ascii="Arial" w:cs="Arial" w:eastAsia="Arial" w:hAnsi="Arial"/>
          <w:sz w:val="20"/>
          <w:szCs w:val="20"/>
        </w:rPr>
        <w:t xml:space="preserve">Offering under-delivers on features/capabilities valued by priority segments relative to competitors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win-rate and expansion gaps caused by product/service feature gaps rather than GTM execution?</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Win/loss themes; NPS vs competitor; customer feedback; competitor feature benchmark; churn reasons</w:t>
      </w:r>
    </w:p>
    <w:p>
      <w:pPr>
        <w:spacing w:after="60" w:before="20"/>
      </w:pPr>
      <w:r>
        <w:rPr>
          <w:rFonts w:ascii="Arial" w:cs="Arial" w:eastAsia="Arial" w:hAnsi="Arial"/>
          <w:i/>
          <w:iCs/>
          <w:sz w:val="20"/>
          <w:szCs w:val="20"/>
        </w:rPr>
        <w:t xml:space="preserve">Catalog coverage: Gap  ·  Priority: Situational</w:t>
      </w:r>
    </w:p>
    <w:p>
      <w:pPr>
        <w:spacing w:after="30" w:before="100"/>
      </w:pPr>
      <w:r>
        <w:rPr>
          <w:rFonts w:ascii="Arial" w:cs="Arial" w:eastAsia="Arial" w:hAnsi="Arial"/>
          <w:b/>
          <w:bCs/>
          <w:color w:val="2D7D3F"/>
          <w:sz w:val="20"/>
          <w:szCs w:val="20"/>
        </w:rPr>
        <w:t xml:space="preserve">MKT-04  </w:t>
      </w:r>
      <w:r>
        <w:rPr>
          <w:rFonts w:ascii="Arial" w:cs="Arial" w:eastAsia="Arial" w:hAnsi="Arial"/>
          <w:b/>
          <w:bCs/>
          <w:sz w:val="20"/>
          <w:szCs w:val="20"/>
        </w:rPr>
        <w:t xml:space="preserve">Product/service proposition differentiation gap — </w:t>
      </w:r>
      <w:r>
        <w:rPr>
          <w:rFonts w:ascii="Arial" w:cs="Arial" w:eastAsia="Arial" w:hAnsi="Arial"/>
          <w:sz w:val="20"/>
          <w:szCs w:val="20"/>
        </w:rPr>
        <w:t xml:space="preserve">Perceived value is misaligned with price positioning, constraining win rates and expansion</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the price-value equation suppressing win rates, expansion or premium pricing potential?</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Win-rate vs price/discount; WTP/elasticity; competitor price index; customer value drivers</w:t>
      </w:r>
    </w:p>
    <w:p>
      <w:pPr>
        <w:spacing w:after="60" w:before="20"/>
      </w:pPr>
      <w:r>
        <w:rPr>
          <w:rFonts w:ascii="Arial" w:cs="Arial" w:eastAsia="Arial" w:hAnsi="Arial"/>
          <w:i/>
          <w:iCs/>
          <w:sz w:val="20"/>
          <w:szCs w:val="20"/>
        </w:rPr>
        <w:t xml:space="preserve">Catalog coverage: Gap  ·  Priority: Situational</w:t>
      </w:r>
    </w:p>
    <w:p>
      <w:pPr>
        <w:spacing w:after="30" w:before="100"/>
      </w:pPr>
      <w:r>
        <w:rPr>
          <w:rFonts w:ascii="Arial" w:cs="Arial" w:eastAsia="Arial" w:hAnsi="Arial"/>
          <w:b/>
          <w:bCs/>
          <w:color w:val="2D7D3F"/>
          <w:sz w:val="20"/>
          <w:szCs w:val="20"/>
        </w:rPr>
        <w:t xml:space="preserve">MKT-05  </w:t>
      </w:r>
      <w:r>
        <w:rPr>
          <w:rFonts w:ascii="Arial" w:cs="Arial" w:eastAsia="Arial" w:hAnsi="Arial"/>
          <w:b/>
          <w:bCs/>
          <w:sz w:val="20"/>
          <w:szCs w:val="20"/>
        </w:rPr>
        <w:t xml:space="preserve">Product/service proposition differentiation gap — </w:t>
      </w:r>
      <w:r>
        <w:rPr>
          <w:rFonts w:ascii="Arial" w:cs="Arial" w:eastAsia="Arial" w:hAnsi="Arial"/>
          <w:sz w:val="20"/>
          <w:szCs w:val="20"/>
        </w:rPr>
        <w:t xml:space="preserve">Brand strength and positioning are insufficient to support competitive win rates and premium pricing</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Does weak brand, awareness or market positioning explain poor win rates in priority segments?</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Brand health; digital discoverability; pipeline source quality; win/loss; NPS benchmark</w:t>
      </w:r>
    </w:p>
    <w:p>
      <w:pPr>
        <w:spacing w:after="60" w:before="20"/>
      </w:pPr>
      <w:r>
        <w:rPr>
          <w:rFonts w:ascii="Arial" w:cs="Arial" w:eastAsia="Arial" w:hAnsi="Arial"/>
          <w:i/>
          <w:iCs/>
          <w:sz w:val="20"/>
          <w:szCs w:val="20"/>
        </w:rPr>
        <w:t xml:space="preserve">Catalog coverage: Gap  ·  Priority: Optional</w:t>
      </w:r>
    </w:p>
    <w:p>
      <w:r>
        <w:br w:type="page"/>
      </w:r>
    </w:p>
    <w:p>
      <w:pPr>
        <w:pStyle w:val="Heading3"/>
        <w:spacing w:after="100" w:before="220"/>
      </w:pPr>
      <w:r>
        <w:rPr>
          <w:rFonts w:ascii="Arial" w:cs="Arial" w:eastAsia="Arial" w:hAnsi="Arial"/>
          <w:b/>
          <w:bCs/>
          <w:color w:val="2E75B6"/>
          <w:sz w:val="24"/>
          <w:szCs w:val="24"/>
        </w:rPr>
        <w:t xml:space="preserve">PRC — Price, discounting &amp; mix leakage</w:t>
      </w:r>
    </w:p>
    <w:p>
      <w:pPr>
        <w:spacing w:after="30" w:before="100"/>
      </w:pPr>
      <w:r>
        <w:rPr>
          <w:rFonts w:ascii="Arial" w:cs="Arial" w:eastAsia="Arial" w:hAnsi="Arial"/>
          <w:b/>
          <w:bCs/>
          <w:color w:val="1F4E79"/>
          <w:sz w:val="20"/>
          <w:szCs w:val="20"/>
        </w:rPr>
        <w:t xml:space="preserve">PRC-01  </w:t>
      </w:r>
      <w:r>
        <w:rPr>
          <w:rFonts w:ascii="Arial" w:cs="Arial" w:eastAsia="Arial" w:hAnsi="Arial"/>
          <w:b/>
          <w:bCs/>
          <w:sz w:val="20"/>
          <w:szCs w:val="20"/>
        </w:rPr>
        <w:t xml:space="preserve">List price optimization gap — </w:t>
      </w:r>
      <w:r>
        <w:rPr>
          <w:rFonts w:ascii="Arial" w:cs="Arial" w:eastAsia="Arial" w:hAnsi="Arial"/>
          <w:sz w:val="20"/>
          <w:szCs w:val="20"/>
        </w:rPr>
        <w:t xml:space="preserve">List prices are set below willingness-to-pay and peer benchmarks, constraining margin potential</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list prices leaving money on the table before discounts are even applied?</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Peer price index; WTP/elasticity; list-to-net waterfall; margin by SKU/tier</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1F4E79"/>
          <w:sz w:val="20"/>
          <w:szCs w:val="20"/>
        </w:rPr>
        <w:t xml:space="preserve">PRC-02  </w:t>
      </w:r>
      <w:r>
        <w:rPr>
          <w:rFonts w:ascii="Arial" w:cs="Arial" w:eastAsia="Arial" w:hAnsi="Arial"/>
          <w:b/>
          <w:bCs/>
          <w:sz w:val="20"/>
          <w:szCs w:val="20"/>
        </w:rPr>
        <w:t xml:space="preserve">Price architecture and tiering gap — </w:t>
      </w:r>
      <w:r>
        <w:rPr>
          <w:rFonts w:ascii="Arial" w:cs="Arial" w:eastAsia="Arial" w:hAnsi="Arial"/>
          <w:sz w:val="20"/>
          <w:szCs w:val="20"/>
        </w:rPr>
        <w:t xml:space="preserve">Price architecture and tiering are inconsistent, creating revenue leakage and margin compression</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Do packaging, tiering, SKU and discount rules create avoidable leakage?</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Tier/SKU margin; price architecture review; attach/upsell paths; plan/package migration analysis</w:t>
      </w:r>
    </w:p>
    <w:p>
      <w:pPr>
        <w:spacing w:after="60" w:before="20"/>
      </w:pPr>
      <w:r>
        <w:rPr>
          <w:rFonts w:ascii="Arial" w:cs="Arial" w:eastAsia="Arial" w:hAnsi="Arial"/>
          <w:i/>
          <w:iCs/>
          <w:sz w:val="20"/>
          <w:szCs w:val="20"/>
        </w:rPr>
        <w:t xml:space="preserve">Catalog coverage: Gap  ·  Priority: Situational</w:t>
      </w:r>
    </w:p>
    <w:p>
      <w:pPr>
        <w:spacing w:after="30" w:before="100"/>
      </w:pPr>
      <w:r>
        <w:rPr>
          <w:rFonts w:ascii="Arial" w:cs="Arial" w:eastAsia="Arial" w:hAnsi="Arial"/>
          <w:b/>
          <w:bCs/>
          <w:color w:val="1F4E79"/>
          <w:sz w:val="20"/>
          <w:szCs w:val="20"/>
        </w:rPr>
        <w:t xml:space="preserve">PRC-03  </w:t>
      </w:r>
      <w:r>
        <w:rPr>
          <w:rFonts w:ascii="Arial" w:cs="Arial" w:eastAsia="Arial" w:hAnsi="Arial"/>
          <w:b/>
          <w:bCs/>
          <w:sz w:val="20"/>
          <w:szCs w:val="20"/>
        </w:rPr>
        <w:t xml:space="preserve">Discount governance leakage — </w:t>
      </w:r>
      <w:r>
        <w:rPr>
          <w:rFonts w:ascii="Arial" w:cs="Arial" w:eastAsia="Arial" w:hAnsi="Arial"/>
          <w:sz w:val="20"/>
          <w:szCs w:val="20"/>
        </w:rPr>
        <w:t xml:space="preserve">Weak discount governance enables concessions without incremental volume benefit</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discounts being used too frequently or without evidence of incremental win-rate benefit?</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Discount distribution; approval thresholds; discount vs win-rate curve; price waterfall</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1F4E79"/>
          <w:sz w:val="20"/>
          <w:szCs w:val="20"/>
        </w:rPr>
        <w:t xml:space="preserve">PRC-04  </w:t>
      </w:r>
      <w:r>
        <w:rPr>
          <w:rFonts w:ascii="Arial" w:cs="Arial" w:eastAsia="Arial" w:hAnsi="Arial"/>
          <w:b/>
          <w:bCs/>
          <w:sz w:val="20"/>
          <w:szCs w:val="20"/>
        </w:rPr>
        <w:t xml:space="preserve">Discount governance leakage — </w:t>
      </w:r>
      <w:r>
        <w:rPr>
          <w:rFonts w:ascii="Arial" w:cs="Arial" w:eastAsia="Arial" w:hAnsi="Arial"/>
          <w:sz w:val="20"/>
          <w:szCs w:val="20"/>
        </w:rPr>
        <w:t xml:space="preserve">Significant discount variance across reps indicates inconsistent pricing discipline</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Do sellers discount differently for similar deals/customers, suggesting governance or capability gaps?</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Rep-level discount dispersion; discount vs attainment; discount vs win-rate; deal size/account controls</w:t>
      </w:r>
    </w:p>
    <w:p>
      <w:pPr>
        <w:spacing w:after="60" w:before="20"/>
      </w:pPr>
      <w:r>
        <w:rPr>
          <w:rFonts w:ascii="Arial" w:cs="Arial" w:eastAsia="Arial" w:hAnsi="Arial"/>
          <w:i/>
          <w:iCs/>
          <w:sz w:val="20"/>
          <w:szCs w:val="20"/>
        </w:rPr>
        <w:t xml:space="preserve">Catalog coverage: Strong  ·  Priority: Core</w:t>
      </w:r>
    </w:p>
    <w:p>
      <w:pPr>
        <w:spacing w:after="30" w:before="100"/>
      </w:pPr>
      <w:r>
        <w:rPr>
          <w:rFonts w:ascii="Arial" w:cs="Arial" w:eastAsia="Arial" w:hAnsi="Arial"/>
          <w:b/>
          <w:bCs/>
          <w:color w:val="1F4E79"/>
          <w:sz w:val="20"/>
          <w:szCs w:val="20"/>
        </w:rPr>
        <w:t xml:space="preserve">PRC-05  </w:t>
      </w:r>
      <w:r>
        <w:rPr>
          <w:rFonts w:ascii="Arial" w:cs="Arial" w:eastAsia="Arial" w:hAnsi="Arial"/>
          <w:b/>
          <w:bCs/>
          <w:sz w:val="20"/>
          <w:szCs w:val="20"/>
        </w:rPr>
        <w:t xml:space="preserve">Account discount leakage — </w:t>
      </w:r>
      <w:r>
        <w:rPr>
          <w:rFonts w:ascii="Arial" w:cs="Arial" w:eastAsia="Arial" w:hAnsi="Arial"/>
          <w:sz w:val="20"/>
          <w:szCs w:val="20"/>
        </w:rPr>
        <w:t xml:space="preserve">Large or strategic accounts receive disproportionate discounts not justified by volume, margin or strategic value</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large accounts receiving discounts that exceed economic value or strategic rationale?</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Account-level price waterfall; margin by account; strategic-account discount benchmarking</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1F4E79"/>
          <w:sz w:val="20"/>
          <w:szCs w:val="20"/>
        </w:rPr>
        <w:t xml:space="preserve">PRC-06  </w:t>
      </w:r>
      <w:r>
        <w:rPr>
          <w:rFonts w:ascii="Arial" w:cs="Arial" w:eastAsia="Arial" w:hAnsi="Arial"/>
          <w:b/>
          <w:bCs/>
          <w:sz w:val="20"/>
          <w:szCs w:val="20"/>
        </w:rPr>
        <w:t xml:space="preserve">Mix-driven margin leakage — </w:t>
      </w:r>
      <w:r>
        <w:rPr>
          <w:rFonts w:ascii="Arial" w:cs="Arial" w:eastAsia="Arial" w:hAnsi="Arial"/>
          <w:sz w:val="20"/>
          <w:szCs w:val="20"/>
        </w:rPr>
        <w:t xml:space="preserve">Revenue mix has shifted toward lower-margin SKUs/products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margin compression a mix issue rather than a pure price issue?</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Product/service-line revenue bridge; SKU margin trend; product Pareto; cross-sell margin analysis</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1F4E79"/>
          <w:sz w:val="20"/>
          <w:szCs w:val="20"/>
        </w:rPr>
        <w:t xml:space="preserve">PRC-07  </w:t>
      </w:r>
      <w:r>
        <w:rPr>
          <w:rFonts w:ascii="Arial" w:cs="Arial" w:eastAsia="Arial" w:hAnsi="Arial"/>
          <w:b/>
          <w:bCs/>
          <w:sz w:val="20"/>
          <w:szCs w:val="20"/>
        </w:rPr>
        <w:t xml:space="preserve">Channel mix leakage — </w:t>
      </w:r>
      <w:r>
        <w:rPr>
          <w:rFonts w:ascii="Arial" w:cs="Arial" w:eastAsia="Arial" w:hAnsi="Arial"/>
          <w:sz w:val="20"/>
          <w:szCs w:val="20"/>
        </w:rPr>
        <w:t xml:space="preserve">Revenue mix has shifted toward lower-margin or lower-productivity channels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channel mix structurally lowering realized margin or productivity?</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Revenue/margin/cost by channel; channel productivity; channel mix vs account size/segment</w:t>
      </w:r>
    </w:p>
    <w:p>
      <w:pPr>
        <w:spacing w:after="60" w:before="20"/>
      </w:pPr>
      <w:r>
        <w:rPr>
          <w:rFonts w:ascii="Arial" w:cs="Arial" w:eastAsia="Arial" w:hAnsi="Arial"/>
          <w:i/>
          <w:iCs/>
          <w:sz w:val="20"/>
          <w:szCs w:val="20"/>
        </w:rPr>
        <w:t xml:space="preserve">Catalog coverage: Gap  ·  Priority: Situational</w:t>
      </w:r>
    </w:p>
    <w:p>
      <w:pPr>
        <w:spacing w:after="30" w:before="100"/>
      </w:pPr>
      <w:r>
        <w:rPr>
          <w:rFonts w:ascii="Arial" w:cs="Arial" w:eastAsia="Arial" w:hAnsi="Arial"/>
          <w:b/>
          <w:bCs/>
          <w:color w:val="1F4E79"/>
          <w:sz w:val="20"/>
          <w:szCs w:val="20"/>
        </w:rPr>
        <w:t xml:space="preserve">PRC-08  </w:t>
      </w:r>
      <w:r>
        <w:rPr>
          <w:rFonts w:ascii="Arial" w:cs="Arial" w:eastAsia="Arial" w:hAnsi="Arial"/>
          <w:b/>
          <w:bCs/>
          <w:sz w:val="20"/>
          <w:szCs w:val="20"/>
        </w:rPr>
        <w:t xml:space="preserve">Segment mix leakage — </w:t>
      </w:r>
      <w:r>
        <w:rPr>
          <w:rFonts w:ascii="Arial" w:cs="Arial" w:eastAsia="Arial" w:hAnsi="Arial"/>
          <w:sz w:val="20"/>
          <w:szCs w:val="20"/>
        </w:rPr>
        <w:t xml:space="preserve">Growth is concentrated in lower-margin or lower-LTV segments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growth coming from accounts/segments that dilute profitability or LTV?</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Revenue by segment; margin by segment; CLV by segment; growth mix decomposition</w:t>
      </w:r>
    </w:p>
    <w:p>
      <w:pPr>
        <w:spacing w:after="60" w:before="20"/>
      </w:pPr>
      <w:r>
        <w:rPr>
          <w:rFonts w:ascii="Arial" w:cs="Arial" w:eastAsia="Arial" w:hAnsi="Arial"/>
          <w:i/>
          <w:iCs/>
          <w:sz w:val="20"/>
          <w:szCs w:val="20"/>
        </w:rPr>
        <w:t xml:space="preserve">Catalog coverage: Strong  ·  Priority: Core</w:t>
      </w:r>
    </w:p>
    <w:p>
      <w:r>
        <w:br w:type="page"/>
      </w:r>
    </w:p>
    <w:p>
      <w:pPr>
        <w:pStyle w:val="Heading3"/>
        <w:spacing w:after="100" w:before="220"/>
      </w:pPr>
      <w:r>
        <w:rPr>
          <w:rFonts w:ascii="Arial" w:cs="Arial" w:eastAsia="Arial" w:hAnsi="Arial"/>
          <w:b/>
          <w:bCs/>
          <w:color w:val="2E75B6"/>
          <w:sz w:val="24"/>
          <w:szCs w:val="24"/>
        </w:rPr>
        <w:t xml:space="preserve">NRP — New revenue productivity</w:t>
      </w:r>
    </w:p>
    <w:p>
      <w:pPr>
        <w:spacing w:after="30" w:before="100"/>
      </w:pPr>
      <w:r>
        <w:rPr>
          <w:rFonts w:ascii="Arial" w:cs="Arial" w:eastAsia="Arial" w:hAnsi="Arial"/>
          <w:b/>
          <w:bCs/>
          <w:color w:val="B8860B"/>
          <w:sz w:val="20"/>
          <w:szCs w:val="20"/>
        </w:rPr>
        <w:t xml:space="preserve">NRP-01  </w:t>
      </w:r>
      <w:r>
        <w:rPr>
          <w:rFonts w:ascii="Arial" w:cs="Arial" w:eastAsia="Arial" w:hAnsi="Arial"/>
          <w:b/>
          <w:bCs/>
          <w:sz w:val="20"/>
          <w:szCs w:val="20"/>
        </w:rPr>
        <w:t xml:space="preserve">Demand generation gap — </w:t>
      </w:r>
      <w:r>
        <w:rPr>
          <w:rFonts w:ascii="Arial" w:cs="Arial" w:eastAsia="Arial" w:hAnsi="Arial"/>
          <w:sz w:val="20"/>
          <w:szCs w:val="20"/>
        </w:rPr>
        <w:t xml:space="preserve">Insufficient or low-quality pipeline generation constrains revenue growth in priority segments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the issue not enough pipeline, poor-quality pipeline, or insufficient coverage against quota/TAM?</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Pipeline coverage; marketing funnel; pipeline source quality; new pipeline creation vs closed-won trend</w:t>
      </w:r>
    </w:p>
    <w:p>
      <w:pPr>
        <w:spacing w:after="60" w:before="20"/>
      </w:pPr>
      <w:r>
        <w:rPr>
          <w:rFonts w:ascii="Arial" w:cs="Arial" w:eastAsia="Arial" w:hAnsi="Arial"/>
          <w:i/>
          <w:iCs/>
          <w:sz w:val="20"/>
          <w:szCs w:val="20"/>
        </w:rPr>
        <w:t xml:space="preserve">Catalog coverage: Strong  ·  Priority: Core</w:t>
      </w:r>
    </w:p>
    <w:p>
      <w:pPr>
        <w:spacing w:after="30" w:before="100"/>
      </w:pPr>
      <w:r>
        <w:rPr>
          <w:rFonts w:ascii="Arial" w:cs="Arial" w:eastAsia="Arial" w:hAnsi="Arial"/>
          <w:b/>
          <w:bCs/>
          <w:color w:val="B8860B"/>
          <w:sz w:val="20"/>
          <w:szCs w:val="20"/>
        </w:rPr>
        <w:t xml:space="preserve">NRP-02  </w:t>
      </w:r>
      <w:r>
        <w:rPr>
          <w:rFonts w:ascii="Arial" w:cs="Arial" w:eastAsia="Arial" w:hAnsi="Arial"/>
          <w:b/>
          <w:bCs/>
          <w:sz w:val="20"/>
          <w:szCs w:val="20"/>
        </w:rPr>
        <w:t xml:space="preserve">Conversion effectiveness gap — </w:t>
      </w:r>
      <w:r>
        <w:rPr>
          <w:rFonts w:ascii="Arial" w:cs="Arial" w:eastAsia="Arial" w:hAnsi="Arial"/>
          <w:sz w:val="20"/>
          <w:szCs w:val="20"/>
        </w:rPr>
        <w:t xml:space="preserve">Below-benchmark funnel conversion and/or extended sales cycles reduce revenue realization</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Where is the funnel leaking and how much revenue is delayed or lost due to conversion and cycle time?</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Stage conversion; win rate; sales cycle; stagnancy; closed-won trend; stage aging</w:t>
      </w:r>
    </w:p>
    <w:p>
      <w:pPr>
        <w:spacing w:after="60" w:before="20"/>
      </w:pPr>
      <w:r>
        <w:rPr>
          <w:rFonts w:ascii="Arial" w:cs="Arial" w:eastAsia="Arial" w:hAnsi="Arial"/>
          <w:i/>
          <w:iCs/>
          <w:sz w:val="20"/>
          <w:szCs w:val="20"/>
        </w:rPr>
        <w:t xml:space="preserve">Catalog coverage: Strong  ·  Priority: Core</w:t>
      </w:r>
    </w:p>
    <w:p>
      <w:pPr>
        <w:spacing w:after="30" w:before="100"/>
      </w:pPr>
      <w:r>
        <w:rPr>
          <w:rFonts w:ascii="Arial" w:cs="Arial" w:eastAsia="Arial" w:hAnsi="Arial"/>
          <w:b/>
          <w:bCs/>
          <w:color w:val="B8860B"/>
          <w:sz w:val="20"/>
          <w:szCs w:val="20"/>
        </w:rPr>
        <w:t xml:space="preserve">NRP-03  </w:t>
      </w:r>
      <w:r>
        <w:rPr>
          <w:rFonts w:ascii="Arial" w:cs="Arial" w:eastAsia="Arial" w:hAnsi="Arial"/>
          <w:b/>
          <w:bCs/>
          <w:sz w:val="20"/>
          <w:szCs w:val="20"/>
        </w:rPr>
        <w:t xml:space="preserve">Rep productivity dispersion — </w:t>
      </w:r>
      <w:r>
        <w:rPr>
          <w:rFonts w:ascii="Arial" w:cs="Arial" w:eastAsia="Arial" w:hAnsi="Arial"/>
          <w:sz w:val="20"/>
          <w:szCs w:val="20"/>
        </w:rPr>
        <w:t xml:space="preserve">Large performance variance across reps indicates inconsistent execution standards and missed best-practice scaling</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productivity gaps concentrated by rep, region, tenure, role, manager or segment?</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Revenue per rep; productivity dispersion; quota attainment; ramp time; productivity upside</w:t>
      </w:r>
    </w:p>
    <w:p>
      <w:pPr>
        <w:spacing w:after="60" w:before="20"/>
      </w:pPr>
      <w:r>
        <w:rPr>
          <w:rFonts w:ascii="Arial" w:cs="Arial" w:eastAsia="Arial" w:hAnsi="Arial"/>
          <w:i/>
          <w:iCs/>
          <w:sz w:val="20"/>
          <w:szCs w:val="20"/>
        </w:rPr>
        <w:t xml:space="preserve">Catalog coverage: Strong  ·  Priority: Core</w:t>
      </w:r>
    </w:p>
    <w:p>
      <w:pPr>
        <w:spacing w:after="30" w:before="100"/>
      </w:pPr>
      <w:r>
        <w:rPr>
          <w:rFonts w:ascii="Arial" w:cs="Arial" w:eastAsia="Arial" w:hAnsi="Arial"/>
          <w:b/>
          <w:bCs/>
          <w:color w:val="B8860B"/>
          <w:sz w:val="20"/>
          <w:szCs w:val="20"/>
        </w:rPr>
        <w:t xml:space="preserve">NRP-04  </w:t>
      </w:r>
      <w:r>
        <w:rPr>
          <w:rFonts w:ascii="Arial" w:cs="Arial" w:eastAsia="Arial" w:hAnsi="Arial"/>
          <w:b/>
          <w:bCs/>
          <w:sz w:val="20"/>
          <w:szCs w:val="20"/>
        </w:rPr>
        <w:t xml:space="preserve">Incentive and target misalignment — </w:t>
      </w:r>
      <w:r>
        <w:rPr>
          <w:rFonts w:ascii="Arial" w:cs="Arial" w:eastAsia="Arial" w:hAnsi="Arial"/>
          <w:sz w:val="20"/>
          <w:szCs w:val="20"/>
        </w:rPr>
        <w:t xml:space="preserve">Compensation design and target-setting are not aligned to strategic growth and profitability objectives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Do quotas and incentives motivate the right outcomes and fairly reflect territory/role potential?</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Quota attainment curve; payout vs performance; pay-mix; quota by tenure/role/region; target calibration</w:t>
      </w:r>
    </w:p>
    <w:p>
      <w:pPr>
        <w:spacing w:after="60" w:before="20"/>
      </w:pPr>
      <w:r>
        <w:rPr>
          <w:rFonts w:ascii="Arial" w:cs="Arial" w:eastAsia="Arial" w:hAnsi="Arial"/>
          <w:i/>
          <w:iCs/>
          <w:sz w:val="20"/>
          <w:szCs w:val="20"/>
        </w:rPr>
        <w:t xml:space="preserve">Catalog coverage: Strong  ·  Priority: Core</w:t>
      </w:r>
    </w:p>
    <w:p>
      <w:pPr>
        <w:spacing w:after="30" w:before="100"/>
      </w:pPr>
      <w:r>
        <w:rPr>
          <w:rFonts w:ascii="Arial" w:cs="Arial" w:eastAsia="Arial" w:hAnsi="Arial"/>
          <w:b/>
          <w:bCs/>
          <w:color w:val="B8860B"/>
          <w:sz w:val="20"/>
          <w:szCs w:val="20"/>
        </w:rPr>
        <w:t xml:space="preserve">NRP-05  </w:t>
      </w:r>
      <w:r>
        <w:rPr>
          <w:rFonts w:ascii="Arial" w:cs="Arial" w:eastAsia="Arial" w:hAnsi="Arial"/>
          <w:b/>
          <w:bCs/>
          <w:sz w:val="20"/>
          <w:szCs w:val="20"/>
        </w:rPr>
        <w:t xml:space="preserve">Time allocation inefficiency — </w:t>
      </w:r>
      <w:r>
        <w:rPr>
          <w:rFonts w:ascii="Arial" w:cs="Arial" w:eastAsia="Arial" w:hAnsi="Arial"/>
          <w:sz w:val="20"/>
          <w:szCs w:val="20"/>
        </w:rPr>
        <w:t xml:space="preserve">Excessive non-selling activity dilutes effective selling capacity</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How much seller capacity is lost to non-selling work, admin, tooling friction, or internal process?</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Time-motion study; CRM activity audit; selling time benchmark; activity-to-output analysis</w:t>
      </w:r>
    </w:p>
    <w:p>
      <w:pPr>
        <w:spacing w:after="60" w:before="20"/>
      </w:pPr>
      <w:r>
        <w:rPr>
          <w:rFonts w:ascii="Arial" w:cs="Arial" w:eastAsia="Arial" w:hAnsi="Arial"/>
          <w:i/>
          <w:iCs/>
          <w:sz w:val="20"/>
          <w:szCs w:val="20"/>
        </w:rPr>
        <w:t xml:space="preserve">Catalog coverage: Gap  ·  Priority: Situational</w:t>
      </w:r>
    </w:p>
    <w:p>
      <w:pPr>
        <w:spacing w:after="30" w:before="100"/>
      </w:pPr>
      <w:r>
        <w:rPr>
          <w:rFonts w:ascii="Arial" w:cs="Arial" w:eastAsia="Arial" w:hAnsi="Arial"/>
          <w:b/>
          <w:bCs/>
          <w:color w:val="B8860B"/>
          <w:sz w:val="20"/>
          <w:szCs w:val="20"/>
        </w:rPr>
        <w:t xml:space="preserve">NRP-06  </w:t>
      </w:r>
      <w:r>
        <w:rPr>
          <w:rFonts w:ascii="Arial" w:cs="Arial" w:eastAsia="Arial" w:hAnsi="Arial"/>
          <w:b/>
          <w:bCs/>
          <w:sz w:val="20"/>
          <w:szCs w:val="20"/>
        </w:rPr>
        <w:t xml:space="preserve">Territory design imbalance — </w:t>
      </w:r>
      <w:r>
        <w:rPr>
          <w:rFonts w:ascii="Arial" w:cs="Arial" w:eastAsia="Arial" w:hAnsi="Arial"/>
          <w:sz w:val="20"/>
          <w:szCs w:val="20"/>
        </w:rPr>
        <w:t xml:space="preserve">Territory design results in over/under-loaded reps and missed high-potential accounts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territories and books balanced by opportunity, workload, TAM, pipeline and account potential?</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Territory workload; FTE per TAM; revenue vs TAM coverage; rep variance by region/territory</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B8860B"/>
          <w:sz w:val="20"/>
          <w:szCs w:val="20"/>
        </w:rPr>
        <w:t xml:space="preserve">NRP-07  </w:t>
      </w:r>
      <w:r>
        <w:rPr>
          <w:rFonts w:ascii="Arial" w:cs="Arial" w:eastAsia="Arial" w:hAnsi="Arial"/>
          <w:b/>
          <w:bCs/>
          <w:sz w:val="20"/>
          <w:szCs w:val="20"/>
        </w:rPr>
        <w:t xml:space="preserve">Capacity vs segment value misalignment — </w:t>
      </w:r>
      <w:r>
        <w:rPr>
          <w:rFonts w:ascii="Arial" w:cs="Arial" w:eastAsia="Arial" w:hAnsi="Arial"/>
          <w:sz w:val="20"/>
          <w:szCs w:val="20"/>
        </w:rPr>
        <w:t xml:space="preserve">Commercial capacity and cost-to-serve are misaligned with segment value potential</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expensive GTM resources deployed against low-value segments while high-LTV segments are under-covered?</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CLV vs coverage intensity; cost-to-serve vs margin; FTE allocation vs TAM; revenue concentration</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B8860B"/>
          <w:sz w:val="20"/>
          <w:szCs w:val="20"/>
        </w:rPr>
        <w:t xml:space="preserve">NRP-08  </w:t>
      </w:r>
      <w:r>
        <w:rPr>
          <w:rFonts w:ascii="Arial" w:cs="Arial" w:eastAsia="Arial" w:hAnsi="Arial"/>
          <w:b/>
          <w:bCs/>
          <w:sz w:val="20"/>
          <w:szCs w:val="20"/>
        </w:rPr>
        <w:t xml:space="preserve">Channel mix productivity gap — </w:t>
      </w:r>
      <w:r>
        <w:rPr>
          <w:rFonts w:ascii="Arial" w:cs="Arial" w:eastAsia="Arial" w:hAnsi="Arial"/>
          <w:sz w:val="20"/>
          <w:szCs w:val="20"/>
        </w:rPr>
        <w:t xml:space="preserve">Current channel mix is suboptimal relative to segment economics and buying behavior</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the field/inside/digital/partner mix right for customer economics and buying complexity?</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Revenue/margin/cost by channel; win rate by channel; channel productivity; segment-channel fit</w:t>
      </w:r>
    </w:p>
    <w:p>
      <w:pPr>
        <w:spacing w:after="60" w:before="20"/>
      </w:pPr>
      <w:r>
        <w:rPr>
          <w:rFonts w:ascii="Arial" w:cs="Arial" w:eastAsia="Arial" w:hAnsi="Arial"/>
          <w:i/>
          <w:iCs/>
          <w:sz w:val="20"/>
          <w:szCs w:val="20"/>
        </w:rPr>
        <w:t xml:space="preserve">Catalog coverage: Gap  ·  Priority: Situational</w:t>
      </w:r>
    </w:p>
    <w:p>
      <w:pPr>
        <w:spacing w:after="30" w:before="100"/>
      </w:pPr>
      <w:r>
        <w:rPr>
          <w:rFonts w:ascii="Arial" w:cs="Arial" w:eastAsia="Arial" w:hAnsi="Arial"/>
          <w:b/>
          <w:bCs/>
          <w:color w:val="B8860B"/>
          <w:sz w:val="20"/>
          <w:szCs w:val="20"/>
        </w:rPr>
        <w:t xml:space="preserve">NRP-09  </w:t>
      </w:r>
      <w:r>
        <w:rPr>
          <w:rFonts w:ascii="Arial" w:cs="Arial" w:eastAsia="Arial" w:hAnsi="Arial"/>
          <w:b/>
          <w:bCs/>
          <w:sz w:val="20"/>
          <w:szCs w:val="20"/>
        </w:rPr>
        <w:t xml:space="preserve">Sales role/archetype misalignment — </w:t>
      </w:r>
      <w:r>
        <w:rPr>
          <w:rFonts w:ascii="Arial" w:cs="Arial" w:eastAsia="Arial" w:hAnsi="Arial"/>
          <w:sz w:val="20"/>
          <w:szCs w:val="20"/>
        </w:rPr>
        <w:t xml:space="preserve">Sales role design and archetypes are misaligned with buying complexity and growth strategy</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responsibilities, handoffs and overlays increasing complexity without productivity benefit?</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Role mapping; deal ownership; overlay ROI; win rate by deal complexity; account ownership map</w:t>
      </w:r>
    </w:p>
    <w:p>
      <w:pPr>
        <w:spacing w:after="60" w:before="20"/>
      </w:pPr>
      <w:r>
        <w:rPr>
          <w:rFonts w:ascii="Arial" w:cs="Arial" w:eastAsia="Arial" w:hAnsi="Arial"/>
          <w:i/>
          <w:iCs/>
          <w:sz w:val="20"/>
          <w:szCs w:val="20"/>
        </w:rPr>
        <w:t xml:space="preserve">Catalog coverage: Partial  ·  Priority: Situational</w:t>
      </w:r>
    </w:p>
    <w:p>
      <w:pPr>
        <w:spacing w:after="30" w:before="100"/>
      </w:pPr>
      <w:r>
        <w:rPr>
          <w:rFonts w:ascii="Arial" w:cs="Arial" w:eastAsia="Arial" w:hAnsi="Arial"/>
          <w:b/>
          <w:bCs/>
          <w:color w:val="B8860B"/>
          <w:sz w:val="20"/>
          <w:szCs w:val="20"/>
        </w:rPr>
        <w:t xml:space="preserve">NRP-10  </w:t>
      </w:r>
      <w:r>
        <w:rPr>
          <w:rFonts w:ascii="Arial" w:cs="Arial" w:eastAsia="Arial" w:hAnsi="Arial"/>
          <w:b/>
          <w:bCs/>
          <w:sz w:val="20"/>
          <w:szCs w:val="20"/>
        </w:rPr>
        <w:t xml:space="preserve">Cost-to-serve dispersion — </w:t>
      </w:r>
      <w:r>
        <w:rPr>
          <w:rFonts w:ascii="Arial" w:cs="Arial" w:eastAsia="Arial" w:hAnsi="Arial"/>
          <w:sz w:val="20"/>
          <w:szCs w:val="20"/>
        </w:rPr>
        <w:t xml:space="preserve">Cost-to-serve varies materially across customers/segments without matching revenue or margin contribution</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certain customers or segments unprofitable after commercial and support effort?</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Activity-based cost-to-serve; margin by account/segment; support FTE by revenue tier; service load</w:t>
      </w:r>
    </w:p>
    <w:p>
      <w:pPr>
        <w:spacing w:after="60" w:before="20"/>
      </w:pPr>
      <w:r>
        <w:rPr>
          <w:rFonts w:ascii="Arial" w:cs="Arial" w:eastAsia="Arial" w:hAnsi="Arial"/>
          <w:i/>
          <w:iCs/>
          <w:sz w:val="20"/>
          <w:szCs w:val="20"/>
        </w:rPr>
        <w:t xml:space="preserve">Catalog coverage: Gap  ·  Priority: Situational</w:t>
      </w:r>
    </w:p>
    <w:p>
      <w:r>
        <w:br w:type="page"/>
      </w:r>
    </w:p>
    <w:p>
      <w:pPr>
        <w:pStyle w:val="Heading3"/>
        <w:spacing w:after="100" w:before="220"/>
      </w:pPr>
      <w:r>
        <w:rPr>
          <w:rFonts w:ascii="Arial" w:cs="Arial" w:eastAsia="Arial" w:hAnsi="Arial"/>
          <w:b/>
          <w:bCs/>
          <w:color w:val="2E75B6"/>
          <w:sz w:val="24"/>
          <w:szCs w:val="24"/>
        </w:rPr>
        <w:t xml:space="preserve">IBV — Installed-base value, retention &amp; expansion</w:t>
      </w:r>
    </w:p>
    <w:p>
      <w:pPr>
        <w:spacing w:after="30" w:before="100"/>
      </w:pPr>
      <w:r>
        <w:rPr>
          <w:rFonts w:ascii="Arial" w:cs="Arial" w:eastAsia="Arial" w:hAnsi="Arial"/>
          <w:b/>
          <w:bCs/>
          <w:color w:val="CC6600"/>
          <w:sz w:val="20"/>
          <w:szCs w:val="20"/>
        </w:rPr>
        <w:t xml:space="preserve">IBV-01  </w:t>
      </w:r>
      <w:r>
        <w:rPr>
          <w:rFonts w:ascii="Arial" w:cs="Arial" w:eastAsia="Arial" w:hAnsi="Arial"/>
          <w:b/>
          <w:bCs/>
          <w:sz w:val="20"/>
          <w:szCs w:val="20"/>
        </w:rPr>
        <w:t xml:space="preserve">Expansion effectiveness gap — </w:t>
      </w:r>
      <w:r>
        <w:rPr>
          <w:rFonts w:ascii="Arial" w:cs="Arial" w:eastAsia="Arial" w:hAnsi="Arial"/>
          <w:sz w:val="20"/>
          <w:szCs w:val="20"/>
        </w:rPr>
        <w:t xml:space="preserve">Existing customers are under-penetrated relative to share-of-wallet potential</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the installed base delivering enough upsell/cross-sell expansion relative to potential?</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Cross-sell/upsell; attach rate; product penetration heatmap; share-of-wallet progression</w:t>
      </w:r>
    </w:p>
    <w:p>
      <w:pPr>
        <w:spacing w:after="60" w:before="20"/>
      </w:pPr>
      <w:r>
        <w:rPr>
          <w:rFonts w:ascii="Arial" w:cs="Arial" w:eastAsia="Arial" w:hAnsi="Arial"/>
          <w:i/>
          <w:iCs/>
          <w:sz w:val="20"/>
          <w:szCs w:val="20"/>
        </w:rPr>
        <w:t xml:space="preserve">Catalog coverage: Strong  ·  Priority: Core</w:t>
      </w:r>
    </w:p>
    <w:p>
      <w:pPr>
        <w:spacing w:after="30" w:before="100"/>
      </w:pPr>
      <w:r>
        <w:rPr>
          <w:rFonts w:ascii="Arial" w:cs="Arial" w:eastAsia="Arial" w:hAnsi="Arial"/>
          <w:b/>
          <w:bCs/>
          <w:color w:val="CC6600"/>
          <w:sz w:val="20"/>
          <w:szCs w:val="20"/>
        </w:rPr>
        <w:t xml:space="preserve">IBV-02  </w:t>
      </w:r>
      <w:r>
        <w:rPr>
          <w:rFonts w:ascii="Arial" w:cs="Arial" w:eastAsia="Arial" w:hAnsi="Arial"/>
          <w:b/>
          <w:bCs/>
          <w:sz w:val="20"/>
          <w:szCs w:val="20"/>
        </w:rPr>
        <w:t xml:space="preserve">Account planning weakness — </w:t>
      </w:r>
      <w:r>
        <w:rPr>
          <w:rFonts w:ascii="Arial" w:cs="Arial" w:eastAsia="Arial" w:hAnsi="Arial"/>
          <w:sz w:val="20"/>
          <w:szCs w:val="20"/>
        </w:rPr>
        <w:t xml:space="preserve">Weak account tiering and planning limit expansion in high-value accounts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high-value accounts tiered, planned and covered in a way that captures expansion potential?</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Top account growth distribution; account tiering; account-level revenue bridge; penetration by tier</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CC6600"/>
          <w:sz w:val="20"/>
          <w:szCs w:val="20"/>
        </w:rPr>
        <w:t xml:space="preserve">IBV-03  </w:t>
      </w:r>
      <w:r>
        <w:rPr>
          <w:rFonts w:ascii="Arial" w:cs="Arial" w:eastAsia="Arial" w:hAnsi="Arial"/>
          <w:b/>
          <w:bCs/>
          <w:sz w:val="20"/>
          <w:szCs w:val="20"/>
        </w:rPr>
        <w:t xml:space="preserve">Renewal process weakness — </w:t>
      </w:r>
      <w:r>
        <w:rPr>
          <w:rFonts w:ascii="Arial" w:cs="Arial" w:eastAsia="Arial" w:hAnsi="Arial"/>
          <w:sz w:val="20"/>
          <w:szCs w:val="20"/>
        </w:rPr>
        <w:t xml:space="preserve">Weak renewal processes drive preventable churn</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renewal outcomes below benchmark because process, pipeline coverage or intervention timing is weak?</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GRR/NRR; renewal pipeline coverage; renewal conversion; churn composition; late renewal rates</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CC6600"/>
          <w:sz w:val="20"/>
          <w:szCs w:val="20"/>
        </w:rPr>
        <w:t xml:space="preserve">IBV-04  </w:t>
      </w:r>
      <w:r>
        <w:rPr>
          <w:rFonts w:ascii="Arial" w:cs="Arial" w:eastAsia="Arial" w:hAnsi="Arial"/>
          <w:b/>
          <w:bCs/>
          <w:sz w:val="20"/>
          <w:szCs w:val="20"/>
        </w:rPr>
        <w:t xml:space="preserve">Customer experience gap — </w:t>
      </w:r>
      <w:r>
        <w:rPr>
          <w:rFonts w:ascii="Arial" w:cs="Arial" w:eastAsia="Arial" w:hAnsi="Arial"/>
          <w:sz w:val="20"/>
          <w:szCs w:val="20"/>
        </w:rPr>
        <w:t xml:space="preserve">Customer experience gaps contribute to churn and limit expansion</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NPS, support issues, onboarding or value-realization friction driving churn?</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NPS vs churn; complaint/ticket trends; customer journey friction; churn reasons</w:t>
      </w:r>
    </w:p>
    <w:p>
      <w:pPr>
        <w:spacing w:after="60" w:before="20"/>
      </w:pPr>
      <w:r>
        <w:rPr>
          <w:rFonts w:ascii="Arial" w:cs="Arial" w:eastAsia="Arial" w:hAnsi="Arial"/>
          <w:i/>
          <w:iCs/>
          <w:sz w:val="20"/>
          <w:szCs w:val="20"/>
        </w:rPr>
        <w:t xml:space="preserve">Catalog coverage: Gap  ·  Priority: Situational</w:t>
      </w:r>
    </w:p>
    <w:p>
      <w:pPr>
        <w:spacing w:after="30" w:before="100"/>
      </w:pPr>
      <w:r>
        <w:rPr>
          <w:rFonts w:ascii="Arial" w:cs="Arial" w:eastAsia="Arial" w:hAnsi="Arial"/>
          <w:b/>
          <w:bCs/>
          <w:color w:val="CC6600"/>
          <w:sz w:val="20"/>
          <w:szCs w:val="20"/>
        </w:rPr>
        <w:t xml:space="preserve">IBV-05  </w:t>
      </w:r>
      <w:r>
        <w:rPr>
          <w:rFonts w:ascii="Arial" w:cs="Arial" w:eastAsia="Arial" w:hAnsi="Arial"/>
          <w:b/>
          <w:bCs/>
          <w:sz w:val="20"/>
          <w:szCs w:val="20"/>
        </w:rPr>
        <w:t xml:space="preserve">Installed-base coverage misalignment — </w:t>
      </w:r>
      <w:r>
        <w:rPr>
          <w:rFonts w:ascii="Arial" w:cs="Arial" w:eastAsia="Arial" w:hAnsi="Arial"/>
          <w:sz w:val="20"/>
          <w:szCs w:val="20"/>
        </w:rPr>
        <w:t xml:space="preserve">High-value accounts are under-served relative to economic potential</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installed-base coverage aligned with revenue concentration, LTV and expansion potential?</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FTE per key account; coverage vs revenue concentration; cost-to-serve vs LTV; AM/CS load</w:t>
      </w:r>
    </w:p>
    <w:p>
      <w:pPr>
        <w:spacing w:after="60" w:before="20"/>
      </w:pPr>
      <w:r>
        <w:rPr>
          <w:rFonts w:ascii="Arial" w:cs="Arial" w:eastAsia="Arial" w:hAnsi="Arial"/>
          <w:i/>
          <w:iCs/>
          <w:sz w:val="20"/>
          <w:szCs w:val="20"/>
        </w:rPr>
        <w:t xml:space="preserve">Catalog coverage: Partial  ·  Priority: Core</w:t>
      </w:r>
    </w:p>
    <w:p>
      <w:r>
        <w:br w:type="page"/>
      </w:r>
    </w:p>
    <w:p>
      <w:pPr>
        <w:pStyle w:val="Heading3"/>
        <w:spacing w:after="100" w:before="220"/>
      </w:pPr>
      <w:r>
        <w:rPr>
          <w:rFonts w:ascii="Arial" w:cs="Arial" w:eastAsia="Arial" w:hAnsi="Arial"/>
          <w:b/>
          <w:bCs/>
          <w:color w:val="2E75B6"/>
          <w:sz w:val="24"/>
          <w:szCs w:val="24"/>
        </w:rPr>
        <w:t xml:space="preserve">COST — S&amp;M cost structure &amp; commercial capacity</w:t>
      </w:r>
    </w:p>
    <w:p>
      <w:pPr>
        <w:spacing w:after="30" w:before="100"/>
      </w:pPr>
      <w:r>
        <w:rPr>
          <w:rFonts w:ascii="Arial" w:cs="Arial" w:eastAsia="Arial" w:hAnsi="Arial"/>
          <w:b/>
          <w:bCs/>
          <w:color w:val="6F42C1"/>
          <w:sz w:val="20"/>
          <w:szCs w:val="20"/>
        </w:rPr>
        <w:t xml:space="preserve">COST-01  </w:t>
      </w:r>
      <w:r>
        <w:rPr>
          <w:rFonts w:ascii="Arial" w:cs="Arial" w:eastAsia="Arial" w:hAnsi="Arial"/>
          <w:b/>
          <w:bCs/>
          <w:sz w:val="20"/>
          <w:szCs w:val="20"/>
        </w:rPr>
        <w:t xml:space="preserve">Frontline capacity inflation — </w:t>
      </w:r>
      <w:r>
        <w:rPr>
          <w:rFonts w:ascii="Arial" w:cs="Arial" w:eastAsia="Arial" w:hAnsi="Arial"/>
          <w:sz w:val="20"/>
          <w:szCs w:val="20"/>
        </w:rPr>
        <w:t xml:space="preserve">Sales capacity exceeds sustainable revenue potential</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the organization overbuilt relative to revenue, pipeline, market opportunity and productivity?</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FTE/10M revenue; ROI per rep; coverage ratios; productivity distribution; SCP/Magic Number</w:t>
      </w:r>
    </w:p>
    <w:p>
      <w:pPr>
        <w:spacing w:after="60" w:before="20"/>
      </w:pPr>
      <w:r>
        <w:rPr>
          <w:rFonts w:ascii="Arial" w:cs="Arial" w:eastAsia="Arial" w:hAnsi="Arial"/>
          <w:i/>
          <w:iCs/>
          <w:sz w:val="20"/>
          <w:szCs w:val="20"/>
        </w:rPr>
        <w:t xml:space="preserve">Catalog coverage: Strong  ·  Priority: Core</w:t>
      </w:r>
    </w:p>
    <w:p>
      <w:pPr>
        <w:spacing w:after="30" w:before="100"/>
      </w:pPr>
      <w:r>
        <w:rPr>
          <w:rFonts w:ascii="Arial" w:cs="Arial" w:eastAsia="Arial" w:hAnsi="Arial"/>
          <w:b/>
          <w:bCs/>
          <w:color w:val="6F42C1"/>
          <w:sz w:val="20"/>
          <w:szCs w:val="20"/>
        </w:rPr>
        <w:t xml:space="preserve">COST-02  </w:t>
      </w:r>
      <w:r>
        <w:rPr>
          <w:rFonts w:ascii="Arial" w:cs="Arial" w:eastAsia="Arial" w:hAnsi="Arial"/>
          <w:b/>
          <w:bCs/>
          <w:sz w:val="20"/>
          <w:szCs w:val="20"/>
        </w:rPr>
        <w:t xml:space="preserve">Org complexity / spans-layers — </w:t>
      </w:r>
      <w:r>
        <w:rPr>
          <w:rFonts w:ascii="Arial" w:cs="Arial" w:eastAsia="Arial" w:hAnsi="Arial"/>
          <w:sz w:val="20"/>
          <w:szCs w:val="20"/>
        </w:rPr>
        <w:t xml:space="preserve">Redundant roles and excessive spans/layers inflate S&amp;M cost</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the GTM organization too layered or duplicative versus benchmarks and decision needs?</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Spans/layers; org structure; sales:support ratio; management layers; role duplication</w:t>
      </w:r>
    </w:p>
    <w:p>
      <w:pPr>
        <w:spacing w:after="60" w:before="20"/>
      </w:pPr>
      <w:r>
        <w:rPr>
          <w:rFonts w:ascii="Arial" w:cs="Arial" w:eastAsia="Arial" w:hAnsi="Arial"/>
          <w:i/>
          <w:iCs/>
          <w:sz w:val="20"/>
          <w:szCs w:val="20"/>
        </w:rPr>
        <w:t xml:space="preserve">Catalog coverage: Strong  ·  Priority: Core</w:t>
      </w:r>
    </w:p>
    <w:p>
      <w:pPr>
        <w:spacing w:after="30" w:before="100"/>
      </w:pPr>
      <w:r>
        <w:rPr>
          <w:rFonts w:ascii="Arial" w:cs="Arial" w:eastAsia="Arial" w:hAnsi="Arial"/>
          <w:b/>
          <w:bCs/>
          <w:color w:val="6F42C1"/>
          <w:sz w:val="20"/>
          <w:szCs w:val="20"/>
        </w:rPr>
        <w:t xml:space="preserve">COST-03  </w:t>
      </w:r>
      <w:r>
        <w:rPr>
          <w:rFonts w:ascii="Arial" w:cs="Arial" w:eastAsia="Arial" w:hAnsi="Arial"/>
          <w:b/>
          <w:bCs/>
          <w:sz w:val="20"/>
          <w:szCs w:val="20"/>
        </w:rPr>
        <w:t xml:space="preserve">Compensation cost inflation — </w:t>
      </w:r>
      <w:r>
        <w:rPr>
          <w:rFonts w:ascii="Arial" w:cs="Arial" w:eastAsia="Arial" w:hAnsi="Arial"/>
          <w:sz w:val="20"/>
          <w:szCs w:val="20"/>
        </w:rPr>
        <w:t xml:space="preserve">Compensation levels are misaligned with market benchmarks and productivity levels</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pay levels, pay mix or payout curves too rich relative to productivity and benchmark?</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Comp benchmarking; OTE by role; payout curves; comp vs attainment; cost per rep</w:t>
      </w:r>
    </w:p>
    <w:p>
      <w:pPr>
        <w:spacing w:after="60" w:before="20"/>
      </w:pPr>
      <w:r>
        <w:rPr>
          <w:rFonts w:ascii="Arial" w:cs="Arial" w:eastAsia="Arial" w:hAnsi="Arial"/>
          <w:i/>
          <w:iCs/>
          <w:sz w:val="20"/>
          <w:szCs w:val="20"/>
        </w:rPr>
        <w:t xml:space="preserve">Catalog coverage: Strong  ·  Priority: Core</w:t>
      </w:r>
    </w:p>
    <w:p>
      <w:pPr>
        <w:spacing w:after="30" w:before="100"/>
      </w:pPr>
      <w:r>
        <w:rPr>
          <w:rFonts w:ascii="Arial" w:cs="Arial" w:eastAsia="Arial" w:hAnsi="Arial"/>
          <w:b/>
          <w:bCs/>
          <w:color w:val="6F42C1"/>
          <w:sz w:val="20"/>
          <w:szCs w:val="20"/>
        </w:rPr>
        <w:t xml:space="preserve">COST-04  </w:t>
      </w:r>
      <w:r>
        <w:rPr>
          <w:rFonts w:ascii="Arial" w:cs="Arial" w:eastAsia="Arial" w:hAnsi="Arial"/>
          <w:b/>
          <w:bCs/>
          <w:sz w:val="20"/>
          <w:szCs w:val="20"/>
        </w:rPr>
        <w:t xml:space="preserve">Sales support overbuild — </w:t>
      </w:r>
      <w:r>
        <w:rPr>
          <w:rFonts w:ascii="Arial" w:cs="Arial" w:eastAsia="Arial" w:hAnsi="Arial"/>
          <w:sz w:val="20"/>
          <w:szCs w:val="20"/>
        </w:rPr>
        <w:t xml:space="preserve">Too many sales support staff or inefficient support ratios inflate S&amp;M cost</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Is support capacity sized correctly relative to frontline roles, revenue and complexity?</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Sales:support ratios; FTE by role; coverage ratios; support cost per revenue</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6F42C1"/>
          <w:sz w:val="20"/>
          <w:szCs w:val="20"/>
        </w:rPr>
        <w:t xml:space="preserve">COST-05  </w:t>
      </w:r>
      <w:r>
        <w:rPr>
          <w:rFonts w:ascii="Arial" w:cs="Arial" w:eastAsia="Arial" w:hAnsi="Arial"/>
          <w:b/>
          <w:bCs/>
          <w:sz w:val="20"/>
          <w:szCs w:val="20"/>
        </w:rPr>
        <w:t xml:space="preserve">Marketing spend inefficiency — </w:t>
      </w:r>
      <w:r>
        <w:rPr>
          <w:rFonts w:ascii="Arial" w:cs="Arial" w:eastAsia="Arial" w:hAnsi="Arial"/>
          <w:sz w:val="20"/>
          <w:szCs w:val="20"/>
        </w:rPr>
        <w:t xml:space="preserve">Fragmented or duplicative marketing investments deliver suboptimal ROI</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Which marketing investments create pipeline/revenue and which are low ROI or duplicative?</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Marketing spend by channel; lead/pipeline/revenue attribution; ROI benchmark; campaign effectiveness</w:t>
      </w:r>
    </w:p>
    <w:p>
      <w:pPr>
        <w:spacing w:after="60" w:before="20"/>
      </w:pPr>
      <w:r>
        <w:rPr>
          <w:rFonts w:ascii="Arial" w:cs="Arial" w:eastAsia="Arial" w:hAnsi="Arial"/>
          <w:i/>
          <w:iCs/>
          <w:sz w:val="20"/>
          <w:szCs w:val="20"/>
        </w:rPr>
        <w:t xml:space="preserve">Catalog coverage: Partial  ·  Priority: Core</w:t>
      </w:r>
    </w:p>
    <w:p>
      <w:pPr>
        <w:spacing w:after="30" w:before="100"/>
      </w:pPr>
      <w:r>
        <w:rPr>
          <w:rFonts w:ascii="Arial" w:cs="Arial" w:eastAsia="Arial" w:hAnsi="Arial"/>
          <w:b/>
          <w:bCs/>
          <w:color w:val="6F42C1"/>
          <w:sz w:val="20"/>
          <w:szCs w:val="20"/>
        </w:rPr>
        <w:t xml:space="preserve">COST-06  </w:t>
      </w:r>
      <w:r>
        <w:rPr>
          <w:rFonts w:ascii="Arial" w:cs="Arial" w:eastAsia="Arial" w:hAnsi="Arial"/>
          <w:b/>
          <w:bCs/>
          <w:sz w:val="20"/>
          <w:szCs w:val="20"/>
        </w:rPr>
        <w:t xml:space="preserve">Commercial tools / agencies / tech overspend — </w:t>
      </w:r>
      <w:r>
        <w:rPr>
          <w:rFonts w:ascii="Arial" w:cs="Arial" w:eastAsia="Arial" w:hAnsi="Arial"/>
          <w:sz w:val="20"/>
          <w:szCs w:val="20"/>
        </w:rPr>
        <w:t xml:space="preserve">Commercial tools, agencies and technology spend exceed value delivered</w:t>
      </w:r>
    </w:p>
    <w:p>
      <w:pPr>
        <w:spacing w:after="20" w:before="20"/>
      </w:pPr>
      <w:r>
        <w:rPr>
          <w:rFonts w:ascii="Arial" w:cs="Arial" w:eastAsia="Arial" w:hAnsi="Arial"/>
          <w:i/>
          <w:iCs/>
          <w:sz w:val="20"/>
          <w:szCs w:val="20"/>
        </w:rPr>
        <w:t xml:space="preserve">Diagnostic question: </w:t>
      </w:r>
      <w:r>
        <w:rPr>
          <w:rFonts w:ascii="Arial" w:cs="Arial" w:eastAsia="Arial" w:hAnsi="Arial"/>
          <w:sz w:val="20"/>
          <w:szCs w:val="20"/>
        </w:rPr>
        <w:t xml:space="preserve">Are GTM tools, agencies and vendors producing enough utilization, productivity or revenue impact?</w:t>
      </w:r>
    </w:p>
    <w:p>
      <w:pPr>
        <w:spacing w:after="20" w:before="20"/>
      </w:pPr>
      <w:r>
        <w:rPr>
          <w:rFonts w:ascii="Arial" w:cs="Arial" w:eastAsia="Arial" w:hAnsi="Arial"/>
          <w:i/>
          <w:iCs/>
          <w:sz w:val="20"/>
          <w:szCs w:val="20"/>
        </w:rPr>
        <w:t xml:space="preserve">Tests / evidence: </w:t>
      </w:r>
      <w:r>
        <w:rPr>
          <w:rFonts w:ascii="Arial" w:cs="Arial" w:eastAsia="Arial" w:hAnsi="Arial"/>
          <w:sz w:val="20"/>
          <w:szCs w:val="20"/>
        </w:rPr>
        <w:t xml:space="preserve">Tool utilization; vendor ROI; license usage; tech stack overlap; agency spend effectiveness</w:t>
      </w:r>
    </w:p>
    <w:p>
      <w:pPr>
        <w:spacing w:after="60" w:before="20"/>
      </w:pPr>
      <w:r>
        <w:rPr>
          <w:rFonts w:ascii="Arial" w:cs="Arial" w:eastAsia="Arial" w:hAnsi="Arial"/>
          <w:i/>
          <w:iCs/>
          <w:sz w:val="20"/>
          <w:szCs w:val="20"/>
        </w:rPr>
        <w:t xml:space="preserve">Catalog coverage: Gap  ·  Priority: Optional</w:t>
      </w:r>
    </w:p>
    <w:p>
      <w:r>
        <w:br w:type="page"/>
      </w:r>
    </w:p>
    <w:p>
      <w:pPr>
        <w:pStyle w:val="Heading1"/>
        <w:spacing w:after="200" w:before="360"/>
      </w:pPr>
      <w:r>
        <w:rPr>
          <w:rFonts w:ascii="Arial" w:cs="Arial" w:eastAsia="Arial" w:hAnsi="Arial"/>
          <w:b/>
          <w:bCs/>
          <w:color w:val="CC0000"/>
          <w:sz w:val="36"/>
          <w:szCs w:val="36"/>
        </w:rPr>
        <w:t xml:space="preserve">Part III — The Analysis Catalog</w:t>
      </w:r>
    </w:p>
    <w:p>
      <w:pPr>
        <w:spacing w:after="80" w:before="80"/>
      </w:pPr>
      <w:r>
        <w:rPr>
          <w:rFonts w:ascii="Arial" w:cs="Arial" w:eastAsia="Arial" w:hAnsi="Arial"/>
          <w:sz w:val="20"/>
          <w:szCs w:val="20"/>
        </w:rPr>
        <w:t xml:space="preserve">58 named analyses organized into 8 modules. Each has standard data requirements, a diagnostic role (screening / root-cause / sizing), and a standard exhibit type. Cite by analysis ID (e.g., </w:t>
      </w:r>
      <w:r>
        <w:rPr>
          <w:rFonts w:ascii="Arial" w:cs="Arial" w:eastAsia="Arial" w:hAnsi="Arial"/>
          <w:b/>
          <w:bCs/>
          <w:sz w:val="20"/>
          <w:szCs w:val="20"/>
        </w:rPr>
        <w:t xml:space="preserve">PERF-09</w:t>
      </w:r>
      <w:r>
        <w:rPr>
          <w:rFonts w:ascii="Arial" w:cs="Arial" w:eastAsia="Arial" w:hAnsi="Arial"/>
          <w:sz w:val="20"/>
          <w:szCs w:val="20"/>
        </w:rPr>
        <w:t xml:space="preserve"> for productivity upside) when discussing in case team conversations.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2F8FE" w:val="clear"/>
            <w:tcMar>
              <w:top w:type="dxa" w:w="140"/>
              <w:left w:type="dxa" w:w="180"/>
              <w:bottom w:type="dxa" w:w="140"/>
              <w:right w:type="dxa" w:w="180"/>
            </w:tcMar>
          </w:tcPr>
          <w:p>
            <w:r>
              <w:rPr>
                <w:rFonts w:ascii="Arial" w:cs="Arial" w:eastAsia="Arial" w:hAnsi="Arial"/>
                <w:b/>
                <w:bCs/>
                <w:color w:val="0F2A4A"/>
                <w:sz w:val="22"/>
                <w:szCs w:val="22"/>
              </w:rPr>
              <w:t xml:space="preserve">MODULES AND THEIR ROLE</w:t>
            </w:r>
          </w:p>
          <w:p>
            <w:pPr>
              <w:spacing w:after="40" w:before="40"/>
            </w:pPr>
            <w:r>
              <w:rPr>
                <w:rFonts w:ascii="Arial" w:cs="Arial" w:eastAsia="Arial" w:hAnsi="Arial"/>
                <w:color w:val="1A1A1A"/>
                <w:sz w:val="20"/>
                <w:szCs w:val="20"/>
              </w:rPr>
              <w:t xml:space="preserve">• Outside-in diagnostics — fast benchmarks (Day 1 pages). Tells you if the client is structurally off vs peers.</w:t>
            </w:r>
          </w:p>
          <w:p>
            <w:pPr>
              <w:spacing w:after="40" w:before="40"/>
            </w:pPr>
            <w:r>
              <w:rPr>
                <w:rFonts w:ascii="Arial" w:cs="Arial" w:eastAsia="Arial" w:hAnsi="Arial"/>
                <w:color w:val="1A1A1A"/>
                <w:sz w:val="20"/>
                <w:szCs w:val="20"/>
              </w:rPr>
              <w:t xml:space="preserve">• Employee census — org structure, FTE coverage, spans/layers, attrition. The "people math".</w:t>
            </w:r>
          </w:p>
          <w:p>
            <w:pPr>
              <w:spacing w:after="40" w:before="40"/>
            </w:pPr>
            <w:r>
              <w:rPr>
                <w:rFonts w:ascii="Arial" w:cs="Arial" w:eastAsia="Arial" w:hAnsi="Arial"/>
                <w:color w:val="1A1A1A"/>
                <w:sz w:val="20"/>
                <w:szCs w:val="20"/>
              </w:rPr>
              <w:t xml:space="preserve">• Employee performance — rep productivity, quota attainment, ramp. The "rep math".</w:t>
            </w:r>
          </w:p>
          <w:p>
            <w:pPr>
              <w:spacing w:after="40" w:before="40"/>
            </w:pPr>
            <w:r>
              <w:rPr>
                <w:rFonts w:ascii="Arial" w:cs="Arial" w:eastAsia="Arial" w:hAnsi="Arial"/>
                <w:color w:val="1A1A1A"/>
                <w:sz w:val="20"/>
                <w:szCs w:val="20"/>
              </w:rPr>
              <w:t xml:space="preserve">• Compensation — comp design, OTE benchmarks, payout curves. The "pay vs performance" view.</w:t>
            </w:r>
          </w:p>
          <w:p>
            <w:pPr>
              <w:spacing w:after="40" w:before="40"/>
            </w:pPr>
            <w:r>
              <w:rPr>
                <w:rFonts w:ascii="Arial" w:cs="Arial" w:eastAsia="Arial" w:hAnsi="Arial"/>
                <w:color w:val="1A1A1A"/>
                <w:sz w:val="20"/>
                <w:szCs w:val="20"/>
              </w:rPr>
              <w:t xml:space="preserve">• Customer analysis — Pareto, sources of growth, retention, LTV/CAC. The "customer math".</w:t>
            </w:r>
          </w:p>
          <w:p>
            <w:pPr>
              <w:spacing w:after="40" w:before="40"/>
            </w:pPr>
            <w:r>
              <w:rPr>
                <w:rFonts w:ascii="Arial" w:cs="Arial" w:eastAsia="Arial" w:hAnsi="Arial"/>
                <w:color w:val="1A1A1A"/>
                <w:sz w:val="20"/>
                <w:szCs w:val="20"/>
              </w:rPr>
              <w:t xml:space="preserve">• Pipeline (static + movement) — funnel health, win rate, conversion, stage aging. The "deal math".</w:t>
            </w:r>
          </w:p>
          <w:p>
            <w:pPr>
              <w:spacing w:after="40" w:before="40"/>
            </w:pPr>
            <w:r>
              <w:rPr>
                <w:rFonts w:ascii="Arial" w:cs="Arial" w:eastAsia="Arial" w:hAnsi="Arial"/>
                <w:color w:val="1A1A1A"/>
                <w:sz w:val="20"/>
                <w:szCs w:val="20"/>
              </w:rPr>
              <w:t xml:space="preserve">• Pricing — UVA, discount governance, price waterfall. The "pricing math".</w:t>
            </w:r>
          </w:p>
          <w:p>
            <w:pPr>
              <w:spacing w:after="40" w:before="40"/>
            </w:pPr>
            <w:r>
              <w:rPr>
                <w:rFonts w:ascii="Arial" w:cs="Arial" w:eastAsia="Arial" w:hAnsi="Arial"/>
                <w:color w:val="1A1A1A"/>
                <w:sz w:val="20"/>
                <w:szCs w:val="20"/>
              </w:rPr>
              <w:t xml:space="preserve">• Upside calculation — EBITDA modelling tying everything to the business case.</w:t>
            </w:r>
          </w:p>
        </w:tc>
      </w:tr>
    </w:tbl>
    <w:p>
      <w:r>
        <w:br w:type="page"/>
      </w:r>
    </w:p>
    <w:p>
      <w:pPr>
        <w:pStyle w:val="Heading2"/>
        <w:spacing w:after="140" w:before="280"/>
      </w:pPr>
      <w:r>
        <w:rPr>
          <w:rFonts w:ascii="Arial" w:cs="Arial" w:eastAsia="Arial" w:hAnsi="Arial"/>
          <w:b/>
          <w:bCs/>
          <w:color w:val="1F4E79"/>
          <w:sz w:val="28"/>
          <w:szCs w:val="28"/>
        </w:rPr>
        <w:t xml:space="preserve">5. Outside-in diagnostics</w:t>
      </w:r>
    </w:p>
    <w:p>
      <w:pPr>
        <w:spacing w:after="80" w:before="80"/>
      </w:pPr>
      <w:r>
        <w:rPr>
          <w:rFonts w:ascii="Arial" w:cs="Arial" w:eastAsia="Arial" w:hAnsi="Arial"/>
          <w:sz w:val="20"/>
          <w:szCs w:val="20"/>
        </w:rPr>
        <w:t xml:space="preserve">Module ID prefix: </w:t>
      </w:r>
      <w:r>
        <w:rPr>
          <w:rFonts w:ascii="Arial" w:cs="Arial" w:eastAsia="Arial" w:hAnsi="Arial"/>
          <w:b/>
          <w:bCs/>
          <w:sz w:val="20"/>
          <w:szCs w:val="20"/>
        </w:rPr>
        <w:t xml:space="preserve">OID</w:t>
      </w:r>
      <w:r>
        <w:rPr>
          <w:rFonts w:ascii="Arial" w:cs="Arial" w:eastAsia="Arial" w:hAnsi="Arial"/>
          <w:sz w:val="20"/>
          <w:szCs w:val="20"/>
        </w:rPr>
        <w:t xml:space="preserve">. Contains 5 analyses.</w:t>
      </w:r>
    </w:p>
    <w:p>
      <w:pPr>
        <w:pStyle w:val="Heading3"/>
        <w:spacing w:after="100" w:before="220"/>
      </w:pPr>
      <w:r>
        <w:rPr>
          <w:rFonts w:ascii="Arial" w:cs="Arial" w:eastAsia="Arial" w:hAnsi="Arial"/>
          <w:b/>
          <w:bCs/>
          <w:color w:val="2E75B6"/>
          <w:sz w:val="24"/>
          <w:szCs w:val="24"/>
        </w:rPr>
        <w:t xml:space="preserve">S&amp;M, SG&amp;A as % of revenue</w:t>
      </w:r>
    </w:p>
    <w:p>
      <w:pPr>
        <w:spacing w:after="30" w:before="120"/>
      </w:pPr>
      <w:r>
        <w:rPr>
          <w:rFonts w:ascii="Arial" w:cs="Arial" w:eastAsia="Arial" w:hAnsi="Arial"/>
          <w:b/>
          <w:bCs/>
          <w:color w:val="1F4E79"/>
          <w:sz w:val="20"/>
          <w:szCs w:val="20"/>
        </w:rPr>
        <w:t xml:space="preserve">OID-01</w:t>
      </w:r>
      <w:r>
        <w:rPr>
          <w:rFonts w:ascii="Arial" w:cs="Arial" w:eastAsia="Arial" w:hAnsi="Arial"/>
          <w:sz w:val="20"/>
          <w:szCs w:val="20"/>
        </w:rPr>
        <w:t xml:space="preserve">  </w:t>
      </w:r>
      <w:r>
        <w:rPr>
          <w:rFonts w:ascii="Arial" w:cs="Arial" w:eastAsia="Arial" w:hAnsi="Arial"/>
          <w:b/>
          <w:bCs/>
          <w:sz w:val="20"/>
          <w:szCs w:val="20"/>
        </w:rPr>
        <w:t xml:space="preserve">S&amp;M, SG&amp;A as % of revenue</w:t>
      </w:r>
    </w:p>
    <w:p>
      <w:pPr>
        <w:spacing w:after="30" w:before="20"/>
      </w:pPr>
      <w:r>
        <w:rPr>
          <w:rFonts w:ascii="Arial" w:cs="Arial" w:eastAsia="Arial" w:hAnsi="Arial"/>
          <w:sz w:val="20"/>
          <w:szCs w:val="20"/>
        </w:rPr>
        <w:t xml:space="preserve">A part of outside in toolkit to undertand how the companies S&amp;M/ SG&amp;A(if former is not available) compares to the revenue of the client as well as further benchmarked to the industry standard for client demographic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Revenue, S&amp;M / SG&amp;A spend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Good-to-have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EBITDA / Gross Profit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Multi-year Financial Statements containing details about revenue, EBITDA and costs (SG&amp;A) and (S&amp;M) (Optional)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COST, 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Screening, 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Peer benchmark exhibit showing commercial productivity and S&amp;M/SG&amp;A efficiency</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Sustained Commercial Productivity</w:t>
      </w:r>
    </w:p>
    <w:p>
      <w:pPr>
        <w:spacing w:after="30" w:before="120"/>
      </w:pPr>
      <w:r>
        <w:rPr>
          <w:rFonts w:ascii="Arial" w:cs="Arial" w:eastAsia="Arial" w:hAnsi="Arial"/>
          <w:b/>
          <w:bCs/>
          <w:color w:val="1F4E79"/>
          <w:sz w:val="20"/>
          <w:szCs w:val="20"/>
        </w:rPr>
        <w:t xml:space="preserve">OID-02</w:t>
      </w:r>
      <w:r>
        <w:rPr>
          <w:rFonts w:ascii="Arial" w:cs="Arial" w:eastAsia="Arial" w:hAnsi="Arial"/>
          <w:sz w:val="20"/>
          <w:szCs w:val="20"/>
        </w:rPr>
        <w:t xml:space="preserve">  </w:t>
      </w:r>
      <w:r>
        <w:rPr>
          <w:rFonts w:ascii="Arial" w:cs="Arial" w:eastAsia="Arial" w:hAnsi="Arial"/>
          <w:b/>
          <w:bCs/>
          <w:sz w:val="20"/>
          <w:szCs w:val="20"/>
        </w:rPr>
        <w:t xml:space="preserve">Sustained Commercial Productivity</w:t>
      </w:r>
    </w:p>
    <w:p>
      <w:pPr>
        <w:spacing w:after="30" w:before="20"/>
      </w:pPr>
      <w:r>
        <w:rPr>
          <w:rFonts w:ascii="Arial" w:cs="Arial" w:eastAsia="Arial" w:hAnsi="Arial"/>
          <w:sz w:val="20"/>
          <w:szCs w:val="20"/>
        </w:rPr>
        <w:t xml:space="preserve">The B2B Sustained Commercial Productivity (SCP) Analysis is an, outside-in diagnostic used in pursuits to show that only a small set of “Sustained Productivity Creators” achieve structurally higher TSR by growing revenue faster than commercial (S&amp;M) costs, and that this is the result of a deliberate, repeatable system rather than just adding GTM capacity. It defines commercial productivity as the returns generated per $1 of commercial spend and explains why this “single currency” is superior to cost-only views for balancing growth and efficiency, guiding investment decisions, and driving continuous improvement. Using public-company data, the tool benchmarks a target client’s productivity, then quantifies an outside-in “size of prize” from both optimizing S&amp;M spend and lifting revenue growth over 12–24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Revenue / EBITDA / Gross Profit, S&amp;M / SG&amp;A spend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Good-to-have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Multi-year Financial Statements containing details about revenue and costs (SG&amp;A) and (S&amp;M) (Optional)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COST, 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Screening,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Peer benchmark exhibit showing commercial productivity and S&amp;M/SG&amp;A efficiency</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Magic number</w:t>
      </w:r>
    </w:p>
    <w:p>
      <w:pPr>
        <w:spacing w:after="30" w:before="120"/>
      </w:pPr>
      <w:r>
        <w:rPr>
          <w:rFonts w:ascii="Arial" w:cs="Arial" w:eastAsia="Arial" w:hAnsi="Arial"/>
          <w:b/>
          <w:bCs/>
          <w:color w:val="1F4E79"/>
          <w:sz w:val="20"/>
          <w:szCs w:val="20"/>
        </w:rPr>
        <w:t xml:space="preserve">OID-03</w:t>
      </w:r>
      <w:r>
        <w:rPr>
          <w:rFonts w:ascii="Arial" w:cs="Arial" w:eastAsia="Arial" w:hAnsi="Arial"/>
          <w:sz w:val="20"/>
          <w:szCs w:val="20"/>
        </w:rPr>
        <w:t xml:space="preserve">  </w:t>
      </w:r>
      <w:r>
        <w:rPr>
          <w:rFonts w:ascii="Arial" w:cs="Arial" w:eastAsia="Arial" w:hAnsi="Arial"/>
          <w:b/>
          <w:bCs/>
          <w:sz w:val="20"/>
          <w:szCs w:val="20"/>
        </w:rPr>
        <w:t xml:space="preserve">Magic number</w:t>
      </w:r>
    </w:p>
    <w:p>
      <w:pPr>
        <w:spacing w:after="30" w:before="20"/>
      </w:pPr>
      <w:r>
        <w:rPr>
          <w:rFonts w:ascii="Arial" w:cs="Arial" w:eastAsia="Arial" w:hAnsi="Arial"/>
          <w:sz w:val="20"/>
          <w:szCs w:val="20"/>
        </w:rPr>
        <w:t xml:space="preserve">The Magic Number analysis is used to quantify how effectively a company converts Sales &amp; Marketing (S&amp;M) spend into new revenue, and to benchmark that efficiency vs peers and Sustained Productivity Creators (SPCs). It supports an outside-in view of commercial ROI that’s easy to compare across companies and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Revenue / EBITDA / Gross Profit, S&amp;M / SG&amp;A spend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Multi-year Financial Statements containing details about revenue and costs (SG&amp;A) and (S&amp;M) (Optional)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Screening, 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Peer benchmark exhibit showing commercial productivity and S&amp;M/SG&amp;A efficiency</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Rule of 40</w:t>
      </w:r>
    </w:p>
    <w:p>
      <w:pPr>
        <w:spacing w:after="30" w:before="120"/>
      </w:pPr>
      <w:r>
        <w:rPr>
          <w:rFonts w:ascii="Arial" w:cs="Arial" w:eastAsia="Arial" w:hAnsi="Arial"/>
          <w:b/>
          <w:bCs/>
          <w:color w:val="1F4E79"/>
          <w:sz w:val="20"/>
          <w:szCs w:val="20"/>
        </w:rPr>
        <w:t xml:space="preserve">OID-04</w:t>
      </w:r>
      <w:r>
        <w:rPr>
          <w:rFonts w:ascii="Arial" w:cs="Arial" w:eastAsia="Arial" w:hAnsi="Arial"/>
          <w:sz w:val="20"/>
          <w:szCs w:val="20"/>
        </w:rPr>
        <w:t xml:space="preserve">  </w:t>
      </w:r>
      <w:r>
        <w:rPr>
          <w:rFonts w:ascii="Arial" w:cs="Arial" w:eastAsia="Arial" w:hAnsi="Arial"/>
          <w:b/>
          <w:bCs/>
          <w:sz w:val="20"/>
          <w:szCs w:val="20"/>
        </w:rPr>
        <w:t xml:space="preserve">Rule of 40</w:t>
      </w:r>
    </w:p>
    <w:p>
      <w:pPr>
        <w:spacing w:after="30" w:before="20"/>
      </w:pPr>
      <w:r>
        <w:rPr>
          <w:rFonts w:ascii="Arial" w:cs="Arial" w:eastAsia="Arial" w:hAnsi="Arial"/>
          <w:sz w:val="20"/>
          <w:szCs w:val="20"/>
        </w:rPr>
        <w:t xml:space="preserve">The Rule of 40 is a simple SaaS / B2B software heuristic that combines growth and profitability into one measure: Rule of 40 score = revenue growth % + profit (or cash) margin % for the same period.
In the SCP toolkit it’s used alongside the productivity scatter plot and Magic Number as one of the three core outside-in lenses on a company’s commercial performance and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Revenue / EBITDA / Gross Profit, S&amp;M / SG&amp;A spend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Multi-year Financial Statements containing details about revenue and costs (SG&amp;A) and (S&amp;M) (Optional)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COST, 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Executive screen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Optional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Peer benchmark exhibit showing commercial productivity and S&amp;M/SG&amp;A efficiency</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Rep sentiment analysis</w:t>
      </w:r>
    </w:p>
    <w:p>
      <w:pPr>
        <w:spacing w:after="30" w:before="120"/>
      </w:pPr>
      <w:r>
        <w:rPr>
          <w:rFonts w:ascii="Arial" w:cs="Arial" w:eastAsia="Arial" w:hAnsi="Arial"/>
          <w:b/>
          <w:bCs/>
          <w:color w:val="1F4E79"/>
          <w:sz w:val="20"/>
          <w:szCs w:val="20"/>
        </w:rPr>
        <w:t xml:space="preserve">OID-05</w:t>
      </w:r>
      <w:r>
        <w:rPr>
          <w:rFonts w:ascii="Arial" w:cs="Arial" w:eastAsia="Arial" w:hAnsi="Arial"/>
          <w:sz w:val="20"/>
          <w:szCs w:val="20"/>
        </w:rPr>
        <w:t xml:space="preserve">  </w:t>
      </w:r>
      <w:r>
        <w:rPr>
          <w:rFonts w:ascii="Arial" w:cs="Arial" w:eastAsia="Arial" w:hAnsi="Arial"/>
          <w:b/>
          <w:bCs/>
          <w:sz w:val="20"/>
          <w:szCs w:val="20"/>
        </w:rPr>
        <w:t xml:space="preserve">Rep sentiment analysis</w:t>
      </w:r>
    </w:p>
    <w:p>
      <w:pPr>
        <w:spacing w:after="30" w:before="20"/>
      </w:pPr>
      <w:r>
        <w:rPr>
          <w:rFonts w:ascii="Arial" w:cs="Arial" w:eastAsia="Arial" w:hAnsi="Arial"/>
          <w:sz w:val="20"/>
          <w:szCs w:val="20"/>
        </w:rPr>
        <w:t xml:space="preserve">The Repvue-based rep sentiment analysis the B2B Commercial Excellence team has used (e.g., in Arrow ECS diagnostics) is essentially an outside-in benchmark of salesforce health and attractiveness that complements internal seller surveys. It pulls Repvue scores and comp data for the client and peers, classifies them into risk bands, and then interprets the implications for talent attraction, retention, and productivity within a broader CE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Done basis Repvue or glassdoor website. Depends on client data availability on these websites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Talent screen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Situational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Peer benchmark exhibit showing commercial productivity and S&amp;M/SG&amp;A efficiency</w:t>
            </w:r>
          </w:p>
        </w:tc>
      </w:tr>
    </w:tbl>
    <w:p>
      <w:pPr>
        <w:spacing w:after="60" w:before="60"/>
      </w:pPr>
      <w:r>
        <w:t xml:space="preserve"/>
      </w:r>
    </w:p>
    <w:p>
      <w:pPr>
        <w:spacing w:after="60" w:before="60"/>
      </w:pPr>
      <w:r>
        <w:t xml:space="preserve"/>
      </w:r>
    </w:p>
    <w:p>
      <w:r>
        <w:br w:type="page"/>
      </w:r>
    </w:p>
    <w:p>
      <w:pPr>
        <w:pStyle w:val="Heading2"/>
        <w:spacing w:after="140" w:before="280"/>
      </w:pPr>
      <w:r>
        <w:rPr>
          <w:rFonts w:ascii="Arial" w:cs="Arial" w:eastAsia="Arial" w:hAnsi="Arial"/>
          <w:b/>
          <w:bCs/>
          <w:color w:val="1F4E79"/>
          <w:sz w:val="28"/>
          <w:szCs w:val="28"/>
        </w:rPr>
        <w:t xml:space="preserve">6. Employee census</w:t>
      </w:r>
    </w:p>
    <w:p>
      <w:pPr>
        <w:spacing w:after="80" w:before="80"/>
      </w:pPr>
      <w:r>
        <w:rPr>
          <w:rFonts w:ascii="Arial" w:cs="Arial" w:eastAsia="Arial" w:hAnsi="Arial"/>
          <w:sz w:val="20"/>
          <w:szCs w:val="20"/>
        </w:rPr>
        <w:t xml:space="preserve">Module ID prefix: </w:t>
      </w:r>
      <w:r>
        <w:rPr>
          <w:rFonts w:ascii="Arial" w:cs="Arial" w:eastAsia="Arial" w:hAnsi="Arial"/>
          <w:b/>
          <w:bCs/>
          <w:sz w:val="20"/>
          <w:szCs w:val="20"/>
        </w:rPr>
        <w:t xml:space="preserve">CENS</w:t>
      </w:r>
      <w:r>
        <w:rPr>
          <w:rFonts w:ascii="Arial" w:cs="Arial" w:eastAsia="Arial" w:hAnsi="Arial"/>
          <w:sz w:val="20"/>
          <w:szCs w:val="20"/>
        </w:rPr>
        <w:t xml:space="preserve">. Contains 6 analyses.</w:t>
      </w:r>
    </w:p>
    <w:p>
      <w:pPr>
        <w:pStyle w:val="Heading3"/>
        <w:spacing w:after="100" w:before="220"/>
      </w:pPr>
      <w:r>
        <w:rPr>
          <w:rFonts w:ascii="Arial" w:cs="Arial" w:eastAsia="Arial" w:hAnsi="Arial"/>
          <w:b/>
          <w:bCs/>
          <w:color w:val="2E75B6"/>
          <w:sz w:val="24"/>
          <w:szCs w:val="24"/>
        </w:rPr>
        <w:t xml:space="preserve">Baseline (and prep - Role mapping)</w:t>
      </w:r>
    </w:p>
    <w:p>
      <w:pPr>
        <w:spacing w:after="30" w:before="120"/>
      </w:pPr>
      <w:r>
        <w:rPr>
          <w:rFonts w:ascii="Arial" w:cs="Arial" w:eastAsia="Arial" w:hAnsi="Arial"/>
          <w:b/>
          <w:bCs/>
          <w:color w:val="1F4E79"/>
          <w:sz w:val="20"/>
          <w:szCs w:val="20"/>
        </w:rPr>
        <w:t xml:space="preserve">CENS-01</w:t>
      </w:r>
      <w:r>
        <w:rPr>
          <w:rFonts w:ascii="Arial" w:cs="Arial" w:eastAsia="Arial" w:hAnsi="Arial"/>
          <w:sz w:val="20"/>
          <w:szCs w:val="20"/>
        </w:rPr>
        <w:t xml:space="preserve">  </w:t>
      </w:r>
      <w:r>
        <w:rPr>
          <w:rFonts w:ascii="Arial" w:cs="Arial" w:eastAsia="Arial" w:hAnsi="Arial"/>
          <w:b/>
          <w:bCs/>
          <w:sz w:val="20"/>
          <w:szCs w:val="20"/>
        </w:rPr>
        <w:t xml:space="preserve">Baseline (and prep - Role mapping)</w:t>
      </w:r>
    </w:p>
    <w:p>
      <w:pPr>
        <w:spacing w:after="30" w:before="20"/>
      </w:pPr>
      <w:r>
        <w:rPr>
          <w:rFonts w:ascii="Arial" w:cs="Arial" w:eastAsia="Arial" w:hAnsi="Arial"/>
          <w:sz w:val="20"/>
          <w:szCs w:val="20"/>
        </w:rPr>
        <w:t xml:space="preserve">Focuses on understanding the current structure and composition of the commercial organization. This includes: Breakdown of S&amp;M FTEs by role type — Sales, Sales Support, Marketing, etc — across regions and business units, Comparison of the current headcount mix against best-in-class SaaS and industry benchmarks, Assessment of whether the org is under-resourced in critical frontline roles (e.g., AEs, Account Managers) relative to peers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Designation, Manager ID, Job Title, Job Family / BU, Emp. Status, Employment Type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Census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Baseline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Org / FTE / coverage benchmark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Coverage ratios</w:t>
      </w:r>
    </w:p>
    <w:p>
      <w:pPr>
        <w:spacing w:after="30" w:before="120"/>
      </w:pPr>
      <w:r>
        <w:rPr>
          <w:rFonts w:ascii="Arial" w:cs="Arial" w:eastAsia="Arial" w:hAnsi="Arial"/>
          <w:b/>
          <w:bCs/>
          <w:color w:val="1F4E79"/>
          <w:sz w:val="20"/>
          <w:szCs w:val="20"/>
        </w:rPr>
        <w:t xml:space="preserve">CENS-02</w:t>
      </w:r>
      <w:r>
        <w:rPr>
          <w:rFonts w:ascii="Arial" w:cs="Arial" w:eastAsia="Arial" w:hAnsi="Arial"/>
          <w:sz w:val="20"/>
          <w:szCs w:val="20"/>
        </w:rPr>
        <w:t xml:space="preserve">  </w:t>
      </w:r>
      <w:r>
        <w:rPr>
          <w:rFonts w:ascii="Arial" w:cs="Arial" w:eastAsia="Arial" w:hAnsi="Arial"/>
          <w:b/>
          <w:bCs/>
          <w:sz w:val="20"/>
          <w:szCs w:val="20"/>
        </w:rPr>
        <w:t xml:space="preserve">Coverage ratios</w:t>
      </w:r>
    </w:p>
    <w:p>
      <w:pPr>
        <w:spacing w:after="30" w:before="20"/>
      </w:pPr>
      <w:r>
        <w:rPr>
          <w:rFonts w:ascii="Arial" w:cs="Arial" w:eastAsia="Arial" w:hAnsi="Arial"/>
          <w:sz w:val="20"/>
          <w:szCs w:val="20"/>
        </w:rPr>
        <w:t xml:space="preserve">Coverage-ratio analysis in B2B Commercial Excellence is the way we test whether the GTM org is right-sized across roles versus revenue and versus best-in-class benchmarks. It uses simple FTE ratios to show where you are over- or under-invested in sales, RevOps, marketing, BDR/SDR, sales ops, CS, renewals, etc. and to translate those gaps into a headcount and $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Designation, Manager ID, Job Title, Job Family / BU, Emp. Status, Employment Type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Census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IBV, COST, MKT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Org / FTE / coverage benchmark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FTE/ $10M</w:t>
      </w:r>
    </w:p>
    <w:p>
      <w:pPr>
        <w:spacing w:after="30" w:before="120"/>
      </w:pPr>
      <w:r>
        <w:rPr>
          <w:rFonts w:ascii="Arial" w:cs="Arial" w:eastAsia="Arial" w:hAnsi="Arial"/>
          <w:b/>
          <w:bCs/>
          <w:color w:val="1F4E79"/>
          <w:sz w:val="20"/>
          <w:szCs w:val="20"/>
        </w:rPr>
        <w:t xml:space="preserve">CENS-03</w:t>
      </w:r>
      <w:r>
        <w:rPr>
          <w:rFonts w:ascii="Arial" w:cs="Arial" w:eastAsia="Arial" w:hAnsi="Arial"/>
          <w:sz w:val="20"/>
          <w:szCs w:val="20"/>
        </w:rPr>
        <w:t xml:space="preserve">  </w:t>
      </w:r>
      <w:r>
        <w:rPr>
          <w:rFonts w:ascii="Arial" w:cs="Arial" w:eastAsia="Arial" w:hAnsi="Arial"/>
          <w:b/>
          <w:bCs/>
          <w:sz w:val="20"/>
          <w:szCs w:val="20"/>
        </w:rPr>
        <w:t xml:space="preserve">FTE/ $10M</w:t>
      </w:r>
    </w:p>
    <w:p>
      <w:pPr>
        <w:spacing w:after="30" w:before="20"/>
      </w:pPr>
      <w:r>
        <w:rPr>
          <w:rFonts w:ascii="Arial" w:cs="Arial" w:eastAsia="Arial" w:hAnsi="Arial"/>
          <w:sz w:val="20"/>
          <w:szCs w:val="20"/>
        </w:rPr>
        <w:t xml:space="preserve">Benchamarking comparision of count of FTEs and the revenue they contribute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Designation, Manager ID, Job Title, Job Family / BU, Emp. Status, Employment Type, Hire Date, Termination Date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Census ans PnL (Containing revenue details)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COST, 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Benchmark,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Org / FTE / coverage benchmark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Attrition and tenure</w:t>
      </w:r>
    </w:p>
    <w:p>
      <w:pPr>
        <w:spacing w:after="30" w:before="120"/>
      </w:pPr>
      <w:r>
        <w:rPr>
          <w:rFonts w:ascii="Arial" w:cs="Arial" w:eastAsia="Arial" w:hAnsi="Arial"/>
          <w:b/>
          <w:bCs/>
          <w:color w:val="1F4E79"/>
          <w:sz w:val="20"/>
          <w:szCs w:val="20"/>
        </w:rPr>
        <w:t xml:space="preserve">CENS-04</w:t>
      </w:r>
      <w:r>
        <w:rPr>
          <w:rFonts w:ascii="Arial" w:cs="Arial" w:eastAsia="Arial" w:hAnsi="Arial"/>
          <w:sz w:val="20"/>
          <w:szCs w:val="20"/>
        </w:rPr>
        <w:t xml:space="preserve">  </w:t>
      </w:r>
      <w:r>
        <w:rPr>
          <w:rFonts w:ascii="Arial" w:cs="Arial" w:eastAsia="Arial" w:hAnsi="Arial"/>
          <w:b/>
          <w:bCs/>
          <w:sz w:val="20"/>
          <w:szCs w:val="20"/>
        </w:rPr>
        <w:t xml:space="preserve">Attrition and tenure</w:t>
      </w:r>
    </w:p>
    <w:p>
      <w:pPr>
        <w:spacing w:after="30" w:before="20"/>
      </w:pPr>
      <w:r>
        <w:rPr>
          <w:rFonts w:ascii="Arial" w:cs="Arial" w:eastAsia="Arial" w:hAnsi="Arial"/>
          <w:sz w:val="20"/>
          <w:szCs w:val="20"/>
        </w:rPr>
        <w:t xml:space="preserve">This analysis evaluates salesforce stability and workforce health by measuring attrition rates across roles, regions, and segments, and examining how these trends vary by tenure to identify structural retention risks; it quantifies overall and role-specific attrition (e.g., hunters vs. farmers/builders) and benchmarks against industry standards to highlight areas of over-rotation and associated cost/productivity implications; it analyzes the tenure profile of exiting employees to determine whether attrition is concentrated among early-tenure reps (indicating onboarding or expectation gaps) or more experienced reps (indicating engagement, incentive, or career path issues); it assesses attrition patterns across geographies and segments to uncover localized drivers of churn and potential management or market-related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Designation, Job Title, Job Family / BU, Emp. Status, Employment Type, Hire Date, Termination Date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Census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Org / FTE / coverage benchmark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OpEx benchmarking</w:t>
      </w:r>
    </w:p>
    <w:p>
      <w:pPr>
        <w:spacing w:after="30" w:before="120"/>
      </w:pPr>
      <w:r>
        <w:rPr>
          <w:rFonts w:ascii="Arial" w:cs="Arial" w:eastAsia="Arial" w:hAnsi="Arial"/>
          <w:b/>
          <w:bCs/>
          <w:color w:val="1F4E79"/>
          <w:sz w:val="20"/>
          <w:szCs w:val="20"/>
        </w:rPr>
        <w:t xml:space="preserve">CENS-05</w:t>
      </w:r>
      <w:r>
        <w:rPr>
          <w:rFonts w:ascii="Arial" w:cs="Arial" w:eastAsia="Arial" w:hAnsi="Arial"/>
          <w:sz w:val="20"/>
          <w:szCs w:val="20"/>
        </w:rPr>
        <w:t xml:space="preserve">  </w:t>
      </w:r>
      <w:r>
        <w:rPr>
          <w:rFonts w:ascii="Arial" w:cs="Arial" w:eastAsia="Arial" w:hAnsi="Arial"/>
          <w:b/>
          <w:bCs/>
          <w:sz w:val="20"/>
          <w:szCs w:val="20"/>
        </w:rPr>
        <w:t xml:space="preserve">OpEx benchmarking</w:t>
      </w:r>
    </w:p>
    <w:p>
      <w:pPr>
        <w:spacing w:after="30" w:before="20"/>
      </w:pPr>
      <w:r>
        <w:rPr>
          <w:rFonts w:ascii="Arial" w:cs="Arial" w:eastAsia="Arial" w:hAnsi="Arial"/>
          <w:sz w:val="20"/>
          <w:szCs w:val="20"/>
        </w:rPr>
        <w:t xml:space="preserve">Benchmarking values to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Org / FTE / coverage benchmark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Spans and Layers</w:t>
      </w:r>
    </w:p>
    <w:p>
      <w:pPr>
        <w:spacing w:after="30" w:before="120"/>
      </w:pPr>
      <w:r>
        <w:rPr>
          <w:rFonts w:ascii="Arial" w:cs="Arial" w:eastAsia="Arial" w:hAnsi="Arial"/>
          <w:b/>
          <w:bCs/>
          <w:color w:val="1F4E79"/>
          <w:sz w:val="20"/>
          <w:szCs w:val="20"/>
        </w:rPr>
        <w:t xml:space="preserve">CENS-06</w:t>
      </w:r>
      <w:r>
        <w:rPr>
          <w:rFonts w:ascii="Arial" w:cs="Arial" w:eastAsia="Arial" w:hAnsi="Arial"/>
          <w:sz w:val="20"/>
          <w:szCs w:val="20"/>
        </w:rPr>
        <w:t xml:space="preserve">  </w:t>
      </w:r>
      <w:r>
        <w:rPr>
          <w:rFonts w:ascii="Arial" w:cs="Arial" w:eastAsia="Arial" w:hAnsi="Arial"/>
          <w:b/>
          <w:bCs/>
          <w:sz w:val="20"/>
          <w:szCs w:val="20"/>
        </w:rPr>
        <w:t xml:space="preserve">Spans and Layers</w:t>
      </w:r>
    </w:p>
    <w:p>
      <w:pPr>
        <w:spacing w:after="30" w:before="20"/>
      </w:pPr>
      <w:r>
        <w:rPr>
          <w:rFonts w:ascii="Arial" w:cs="Arial" w:eastAsia="Arial" w:hAnsi="Arial"/>
          <w:sz w:val="20"/>
          <w:szCs w:val="20"/>
        </w:rPr>
        <w:t xml:space="preserve">Assess reporting depth and manager spans across the organization and isolate pockets that look over-layered or under-managed. Compare the structure by business unit, function, region, and manager cohort to identify where layers can be removed or teams rebalanced. Support decisions on org design, manager role clarity, and redistribution of work across supervisors and individual contributors.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Manager ID, Designations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Census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Org / FTE / coverage benchmark exhibit</w:t>
            </w:r>
          </w:p>
        </w:tc>
      </w:tr>
    </w:tbl>
    <w:p>
      <w:pPr>
        <w:spacing w:after="60" w:before="60"/>
      </w:pPr>
      <w:r>
        <w:t xml:space="preserve"/>
      </w:r>
    </w:p>
    <w:p>
      <w:pPr>
        <w:spacing w:after="60" w:before="60"/>
      </w:pPr>
      <w:r>
        <w:t xml:space="preserve"/>
      </w:r>
    </w:p>
    <w:p>
      <w:r>
        <w:br w:type="page"/>
      </w:r>
    </w:p>
    <w:p>
      <w:pPr>
        <w:pStyle w:val="Heading2"/>
        <w:spacing w:after="140" w:before="280"/>
      </w:pPr>
      <w:r>
        <w:rPr>
          <w:rFonts w:ascii="Arial" w:cs="Arial" w:eastAsia="Arial" w:hAnsi="Arial"/>
          <w:b/>
          <w:bCs/>
          <w:color w:val="1F4E79"/>
          <w:sz w:val="28"/>
          <w:szCs w:val="28"/>
        </w:rPr>
        <w:t xml:space="preserve">7. Employee performance</w:t>
      </w:r>
    </w:p>
    <w:p>
      <w:pPr>
        <w:spacing w:after="80" w:before="80"/>
      </w:pPr>
      <w:r>
        <w:rPr>
          <w:rFonts w:ascii="Arial" w:cs="Arial" w:eastAsia="Arial" w:hAnsi="Arial"/>
          <w:sz w:val="20"/>
          <w:szCs w:val="20"/>
        </w:rPr>
        <w:t xml:space="preserve">Module ID prefix: </w:t>
      </w:r>
      <w:r>
        <w:rPr>
          <w:rFonts w:ascii="Arial" w:cs="Arial" w:eastAsia="Arial" w:hAnsi="Arial"/>
          <w:b/>
          <w:bCs/>
          <w:sz w:val="20"/>
          <w:szCs w:val="20"/>
        </w:rPr>
        <w:t xml:space="preserve">PERF</w:t>
      </w:r>
      <w:r>
        <w:rPr>
          <w:rFonts w:ascii="Arial" w:cs="Arial" w:eastAsia="Arial" w:hAnsi="Arial"/>
          <w:sz w:val="20"/>
          <w:szCs w:val="20"/>
        </w:rPr>
        <w:t xml:space="preserve">. Contains 21 analyses.</w:t>
      </w:r>
    </w:p>
    <w:p>
      <w:pPr>
        <w:pStyle w:val="Heading3"/>
        <w:spacing w:after="100" w:before="220"/>
      </w:pPr>
      <w:r>
        <w:rPr>
          <w:rFonts w:ascii="Arial" w:cs="Arial" w:eastAsia="Arial" w:hAnsi="Arial"/>
          <w:b/>
          <w:bCs/>
          <w:color w:val="2E75B6"/>
          <w:sz w:val="24"/>
          <w:szCs w:val="24"/>
        </w:rPr>
        <w:t xml:space="preserve">Rep Productivity</w:t>
      </w:r>
    </w:p>
    <w:p>
      <w:pPr>
        <w:spacing w:after="30" w:before="120"/>
      </w:pPr>
      <w:r>
        <w:rPr>
          <w:rFonts w:ascii="Arial" w:cs="Arial" w:eastAsia="Arial" w:hAnsi="Arial"/>
          <w:b/>
          <w:bCs/>
          <w:color w:val="1F4E79"/>
          <w:sz w:val="20"/>
          <w:szCs w:val="20"/>
        </w:rPr>
        <w:t xml:space="preserve">PERF-01</w:t>
      </w:r>
      <w:r>
        <w:rPr>
          <w:rFonts w:ascii="Arial" w:cs="Arial" w:eastAsia="Arial" w:hAnsi="Arial"/>
          <w:sz w:val="20"/>
          <w:szCs w:val="20"/>
        </w:rPr>
        <w:t xml:space="preserve">  </w:t>
      </w:r>
      <w:r>
        <w:rPr>
          <w:rFonts w:ascii="Arial" w:cs="Arial" w:eastAsia="Arial" w:hAnsi="Arial"/>
          <w:b/>
          <w:bCs/>
          <w:sz w:val="20"/>
          <w:szCs w:val="20"/>
        </w:rPr>
        <w:t xml:space="preserve">Output per Rep (Baseline Productivity)</w:t>
      </w:r>
    </w:p>
    <w:p>
      <w:pPr>
        <w:spacing w:after="30" w:before="20"/>
      </w:pPr>
      <w:r>
        <w:rPr>
          <w:rFonts w:ascii="Arial" w:cs="Arial" w:eastAsia="Arial" w:hAnsi="Arial"/>
          <w:sz w:val="20"/>
          <w:szCs w:val="20"/>
        </w:rPr>
        <w:t xml:space="preserve">Measures annual productivity of each sales representative using output metrics such as bookings, revenue, or gross profit per rep. This establishes a clear baseline of individual and regional performance, enabling the organization to understand the absolute level of value each rep generates and serving as the foundation for all subsequent comparative and dispersion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Emp. Status, Employment Type,  Revenue / Margin (can be at any level or all of these level - month, year, product level etc)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Good-to-have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Job title, Job Family / BU,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Transaction, Compensation (If revenue details given at rep level) , Census  (Optional)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PERF-02</w:t>
      </w:r>
      <w:r>
        <w:rPr>
          <w:rFonts w:ascii="Arial" w:cs="Arial" w:eastAsia="Arial" w:hAnsi="Arial"/>
          <w:sz w:val="20"/>
          <w:szCs w:val="20"/>
        </w:rPr>
        <w:t xml:space="preserve">  </w:t>
      </w:r>
      <w:r>
        <w:rPr>
          <w:rFonts w:ascii="Arial" w:cs="Arial" w:eastAsia="Arial" w:hAnsi="Arial"/>
          <w:b/>
          <w:bCs/>
          <w:sz w:val="20"/>
          <w:szCs w:val="20"/>
        </w:rPr>
        <w:t xml:space="preserve">Productivity Distribution Across Reps and Regions</w:t>
      </w:r>
    </w:p>
    <w:p>
      <w:pPr>
        <w:spacing w:after="30" w:before="20"/>
      </w:pPr>
      <w:r>
        <w:rPr>
          <w:rFonts w:ascii="Arial" w:cs="Arial" w:eastAsia="Arial" w:hAnsi="Arial"/>
          <w:sz w:val="20"/>
          <w:szCs w:val="20"/>
        </w:rPr>
        <w:t xml:space="preserve">Benchmarks how productivity is spread across the rep population and across geographic regions. The goal is to identify variability in performance, concentration risks (e.g., over-reliance on a small group of top performers whose departure could materially impact revenue), and structural inefficiencies in territory coverage, account assignment, or sales execution that may be suppressing performance in certain pockets.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PERF-03</w:t>
      </w:r>
      <w:r>
        <w:rPr>
          <w:rFonts w:ascii="Arial" w:cs="Arial" w:eastAsia="Arial" w:hAnsi="Arial"/>
          <w:sz w:val="20"/>
          <w:szCs w:val="20"/>
        </w:rPr>
        <w:t xml:space="preserve">  </w:t>
      </w:r>
      <w:r>
        <w:rPr>
          <w:rFonts w:ascii="Arial" w:cs="Arial" w:eastAsia="Arial" w:hAnsi="Arial"/>
          <w:b/>
          <w:bCs/>
          <w:sz w:val="20"/>
          <w:szCs w:val="20"/>
        </w:rPr>
        <w:t xml:space="preserve">Productivity Dispersion (Quartile Analysis)</w:t>
      </w:r>
    </w:p>
    <w:p>
      <w:pPr>
        <w:spacing w:after="30" w:before="20"/>
      </w:pPr>
      <w:r>
        <w:rPr>
          <w:rFonts w:ascii="Arial" w:cs="Arial" w:eastAsia="Arial" w:hAnsi="Arial"/>
          <w:sz w:val="20"/>
          <w:szCs w:val="20"/>
        </w:rPr>
        <w:t xml:space="preserve">Assesses the spread of productivity across performance tiers by comparing top quartile vs. median vs. bottom quartile reps. This diagnoses consistency gaps within the salesforce, quantifies the performance delta between the best and the rest, and uncovers opportunities to scale best practices, playbooks, and behaviors from high-performing cohorts down to mid- and low-performing reps to lift the overall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PERF-04</w:t>
      </w:r>
      <w:r>
        <w:rPr>
          <w:rFonts w:ascii="Arial" w:cs="Arial" w:eastAsia="Arial" w:hAnsi="Arial"/>
          <w:sz w:val="20"/>
          <w:szCs w:val="20"/>
        </w:rPr>
        <w:t xml:space="preserve">  </w:t>
      </w:r>
      <w:r>
        <w:rPr>
          <w:rFonts w:ascii="Arial" w:cs="Arial" w:eastAsia="Arial" w:hAnsi="Arial"/>
          <w:b/>
          <w:bCs/>
          <w:sz w:val="20"/>
          <w:szCs w:val="20"/>
        </w:rPr>
        <w:t xml:space="preserve">ROI per Rep (Revenue per $ of Compensation)</w:t>
      </w:r>
    </w:p>
    <w:p>
      <w:pPr>
        <w:spacing w:after="30" w:before="20"/>
      </w:pPr>
      <w:r>
        <w:rPr>
          <w:rFonts w:ascii="Arial" w:cs="Arial" w:eastAsia="Arial" w:hAnsi="Arial"/>
          <w:sz w:val="20"/>
          <w:szCs w:val="20"/>
        </w:rPr>
        <w:t xml:space="preserve">Evaluates the return generated by each rep relative to their fully-loaded compensation cost (base salary, commission, benefits, etc.). Expressed as revenue per $1 of compensation, this metric moves beyond raw output and reflects the economic efficiency of the salesforce, highlighting reps or cohorts where compensation may be misaligned with the value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PERF-05</w:t>
      </w:r>
      <w:r>
        <w:rPr>
          <w:rFonts w:ascii="Arial" w:cs="Arial" w:eastAsia="Arial" w:hAnsi="Arial"/>
          <w:sz w:val="20"/>
          <w:szCs w:val="20"/>
        </w:rPr>
        <w:t xml:space="preserve">  </w:t>
      </w:r>
      <w:r>
        <w:rPr>
          <w:rFonts w:ascii="Arial" w:cs="Arial" w:eastAsia="Arial" w:hAnsi="Arial"/>
          <w:b/>
          <w:bCs/>
          <w:sz w:val="20"/>
          <w:szCs w:val="20"/>
        </w:rPr>
        <w:t xml:space="preserve">Productivity by Dimensions (Region / BU / Customer Segment)</w:t>
      </w:r>
    </w:p>
    <w:p>
      <w:pPr>
        <w:spacing w:after="30" w:before="20"/>
      </w:pPr>
      <w:r>
        <w:rPr>
          <w:rFonts w:ascii="Arial" w:cs="Arial" w:eastAsia="Arial" w:hAnsi="Arial"/>
          <w:sz w:val="20"/>
          <w:szCs w:val="20"/>
        </w:rPr>
        <w:t xml:space="preserve">Cuts rep productivity along multiple dimensions including geographic region, business unit, and customer segment to identify underperforming clusters. This pinpoints whether productivity gaps are isolated to specific reps or are systemic to a region, BU, or segment, which then informs targeted interventions such as leadership changes, retraining, or territory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PERF-06</w:t>
      </w:r>
      <w:r>
        <w:rPr>
          <w:rFonts w:ascii="Arial" w:cs="Arial" w:eastAsia="Arial" w:hAnsi="Arial"/>
          <w:sz w:val="20"/>
          <w:szCs w:val="20"/>
        </w:rPr>
        <w:t xml:space="preserve">  </w:t>
      </w:r>
      <w:r>
        <w:rPr>
          <w:rFonts w:ascii="Arial" w:cs="Arial" w:eastAsia="Arial" w:hAnsi="Arial"/>
          <w:b/>
          <w:bCs/>
          <w:sz w:val="20"/>
          <w:szCs w:val="20"/>
        </w:rPr>
        <w:t xml:space="preserve">Product Mix per Rep</w:t>
      </w:r>
    </w:p>
    <w:p>
      <w:pPr>
        <w:spacing w:after="30" w:before="20"/>
      </w:pPr>
      <w:r>
        <w:rPr>
          <w:rFonts w:ascii="Arial" w:cs="Arial" w:eastAsia="Arial" w:hAnsi="Arial"/>
          <w:sz w:val="20"/>
          <w:szCs w:val="20"/>
        </w:rPr>
        <w:t xml:space="preserve">Breaks down each rep's sales by product line to verify whether all reps are adept at selling the full portfolio, particularly key strategic and priority products. This reveals reps who over-index on legacy or easy-to-sell products and under-index on strategic/high-margin products, surfacing enablement gaps and cross-sell opportunities tied to specific product training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PRC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PERF-07</w:t>
      </w:r>
      <w:r>
        <w:rPr>
          <w:rFonts w:ascii="Arial" w:cs="Arial" w:eastAsia="Arial" w:hAnsi="Arial"/>
          <w:sz w:val="20"/>
          <w:szCs w:val="20"/>
        </w:rPr>
        <w:t xml:space="preserve">  </w:t>
      </w:r>
      <w:r>
        <w:rPr>
          <w:rFonts w:ascii="Arial" w:cs="Arial" w:eastAsia="Arial" w:hAnsi="Arial"/>
          <w:b/>
          <w:bCs/>
          <w:sz w:val="20"/>
          <w:szCs w:val="20"/>
        </w:rPr>
        <w:t xml:space="preserve">New Logo vs. Existing Logo per Rep (Hunter vs. Farmer)</w:t>
      </w:r>
    </w:p>
    <w:p>
      <w:pPr>
        <w:spacing w:after="30" w:before="20"/>
      </w:pPr>
      <w:r>
        <w:rPr>
          <w:rFonts w:ascii="Arial" w:cs="Arial" w:eastAsia="Arial" w:hAnsi="Arial"/>
          <w:sz w:val="20"/>
          <w:szCs w:val="20"/>
        </w:rPr>
        <w:t xml:space="preserve">Splits each rep's revenue between net-new customers (hunting) and existing customers (farming/expansion) to assess whether reps are appropriately balanced across acquisition and retention. This identifies whether the salesforce is overly dependent on existing-account expansion at the expense of new logo acquisition (or vice versa) and informs role specialization and incentive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IBV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PERF-08</w:t>
      </w:r>
      <w:r>
        <w:rPr>
          <w:rFonts w:ascii="Arial" w:cs="Arial" w:eastAsia="Arial" w:hAnsi="Arial"/>
          <w:sz w:val="20"/>
          <w:szCs w:val="20"/>
        </w:rPr>
        <w:t xml:space="preserve">  </w:t>
      </w:r>
      <w:r>
        <w:rPr>
          <w:rFonts w:ascii="Arial" w:cs="Arial" w:eastAsia="Arial" w:hAnsi="Arial"/>
          <w:b/>
          <w:bCs/>
          <w:sz w:val="20"/>
          <w:szCs w:val="20"/>
        </w:rPr>
        <w:t xml:space="preserve">Average Rep Productivity by Year</w:t>
      </w:r>
    </w:p>
    <w:p>
      <w:pPr>
        <w:spacing w:after="30" w:before="20"/>
      </w:pPr>
      <w:r>
        <w:rPr>
          <w:rFonts w:ascii="Arial" w:cs="Arial" w:eastAsia="Arial" w:hAnsi="Arial"/>
          <w:sz w:val="20"/>
          <w:szCs w:val="20"/>
        </w:rPr>
        <w:t xml:space="preserve">Tracks the average productivity per rep on a year-over-year basis to monitor trends in salesforce performance over time. This trend analysis reveals whether productivity is improving, stagnating, or declining, and helps isolate whether revenue growth is being driven by genuine productivity gains versus simply by adding more headcount.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PERF-09</w:t>
      </w:r>
      <w:r>
        <w:rPr>
          <w:rFonts w:ascii="Arial" w:cs="Arial" w:eastAsia="Arial" w:hAnsi="Arial"/>
          <w:sz w:val="20"/>
          <w:szCs w:val="20"/>
        </w:rPr>
        <w:t xml:space="preserve">  </w:t>
      </w:r>
      <w:r>
        <w:rPr>
          <w:rFonts w:ascii="Arial" w:cs="Arial" w:eastAsia="Arial" w:hAnsi="Arial"/>
          <w:b/>
          <w:bCs/>
          <w:sz w:val="20"/>
          <w:szCs w:val="20"/>
        </w:rPr>
        <w:t xml:space="preserve">Productivity Upside</w:t>
      </w:r>
    </w:p>
    <w:p>
      <w:pPr>
        <w:spacing w:after="30" w:before="20"/>
      </w:pPr>
      <w:r>
        <w:rPr>
          <w:rFonts w:ascii="Arial" w:cs="Arial" w:eastAsia="Arial" w:hAnsi="Arial"/>
          <w:sz w:val="20"/>
          <w:szCs w:val="20"/>
        </w:rPr>
        <w:t xml:space="preserve">Rep productivity upside quantifies upside potential through statistical scenario modeling by simulating productivity uplift across underperforming reps—typically using conservative (e.g., lifting bottom quartile to median/next quartile) and aggressive (e.g., lifting all below-median performers to median) cases; it translates these improvements into incremental revenue or gross profit impact to estimate total value creation potential; and it evaluates variation across regions, roles, and segments to localize improvement opportunities and prioritize interventions—ultimately providing a fact-based view of how much growth can be unlocked through productivity improvements and informing targeted actions across enablement, coverage design, and performance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Emp. Status, Employment Type,  Revenue / Margin (can be at any level or all of these level - month, year, product level etc)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Good-to-have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Job title, Job Family / BU,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Transaction, Compensation (If revenue details given at rep level)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PERF-10</w:t>
      </w:r>
      <w:r>
        <w:rPr>
          <w:rFonts w:ascii="Arial" w:cs="Arial" w:eastAsia="Arial" w:hAnsi="Arial"/>
          <w:sz w:val="20"/>
          <w:szCs w:val="20"/>
        </w:rPr>
        <w:t xml:space="preserve">  </w:t>
      </w:r>
      <w:r>
        <w:rPr>
          <w:rFonts w:ascii="Arial" w:cs="Arial" w:eastAsia="Arial" w:hAnsi="Arial"/>
          <w:b/>
          <w:bCs/>
          <w:sz w:val="20"/>
          <w:szCs w:val="20"/>
        </w:rPr>
        <w:t xml:space="preserve">Tenure vs Productivity</w:t>
      </w:r>
    </w:p>
    <w:p>
      <w:pPr>
        <w:spacing w:after="30" w:before="20"/>
      </w:pPr>
      <w:r>
        <w:rPr>
          <w:rFonts w:ascii="Arial" w:cs="Arial" w:eastAsia="Arial" w:hAnsi="Arial"/>
          <w:sz w:val="20"/>
          <w:szCs w:val="20"/>
        </w:rPr>
        <w:t xml:space="preserve">Tenure vs productivity analysis examines the relationship between sales rep tenure and productivity (e.g., revenue or gross profit per rep) to assess whether experience is translating into higher performance; it analyzes productivity distribution across tenure bands and visualizes correlation patterns to determine if tenured reps consistently outperform newer hires or if performance is largely independent of experience; it identifies inconsistencies such as high variability in productivity among reps with similar tenure or comparable performance across vastly different tenure levels, highlighting potential gaps in enablement, training, or role clarity; it evaluates whether the current tenure mix of the salesforce is optimally leveraged or if experienced reps are underperforming relative to expectations; it segments insights by region or role to uncover localized differences in how tenure impacts productivity; and it uses these findings to diagnose effectiveness of onboarding, continuous training, and performance management programs—ultimately identifying opportunities to strengthen enablement, improve ramp-to-productivity, and better capitalize on accumulated sales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Emp. Status, Employment Type, Hire Date, Termination Date, Quota assigned  (can be at any level or all of these level - month, year, product level etc), Revenue / Margin (can be at any level or all of these level - month, year, product level etc)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Good-to-have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Job title, Job Family / BU,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Transaction, Compensation (If revenue details given at rep level), Census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Quota Attainment</w:t>
      </w:r>
    </w:p>
    <w:p>
      <w:pPr>
        <w:spacing w:after="30" w:before="120"/>
      </w:pPr>
      <w:r>
        <w:rPr>
          <w:rFonts w:ascii="Arial" w:cs="Arial" w:eastAsia="Arial" w:hAnsi="Arial"/>
          <w:b/>
          <w:bCs/>
          <w:color w:val="1F4E79"/>
          <w:sz w:val="20"/>
          <w:szCs w:val="20"/>
        </w:rPr>
        <w:t xml:space="preserve">PERF-11</w:t>
      </w:r>
      <w:r>
        <w:rPr>
          <w:rFonts w:ascii="Arial" w:cs="Arial" w:eastAsia="Arial" w:hAnsi="Arial"/>
          <w:sz w:val="20"/>
          <w:szCs w:val="20"/>
        </w:rPr>
        <w:t xml:space="preserve">  </w:t>
      </w:r>
      <w:r>
        <w:rPr>
          <w:rFonts w:ascii="Arial" w:cs="Arial" w:eastAsia="Arial" w:hAnsi="Arial"/>
          <w:b/>
          <w:bCs/>
          <w:sz w:val="20"/>
          <w:szCs w:val="20"/>
        </w:rPr>
        <w:t xml:space="preserve">Quota Attainment</w:t>
      </w:r>
    </w:p>
    <w:p>
      <w:pPr>
        <w:spacing w:after="30" w:before="20"/>
      </w:pPr>
      <w:r>
        <w:rPr>
          <w:rFonts w:ascii="Arial" w:cs="Arial" w:eastAsia="Arial" w:hAnsi="Arial"/>
          <w:sz w:val="20"/>
          <w:szCs w:val="20"/>
        </w:rPr>
        <w:t xml:space="preserve">Quota attainment analysis assesses the effectiveness of quota setting and salesforce performance by examining the distribution of rep attainment against targets, providing a clear view of alignment between quotas, market opportunity, and talent capability; it evaluates the attainment curve (e.g., % of reps below threshold, within 75–125%, and above 125%+) against best-practice benchmarks to diagnose whether quotas are too aggressive or too lenient; it measures the share of reps meeting or exceeding quota and compares this to peers to identify calibration and performance management gaps; it analyzes the presence of extreme over- or under-performers to flag potential issues in quota fairness, account allocation, or incentive design; it assesses attainment consistency over time (e.g., quarterly misses, consecutive attainment patterns) to uncover execution risks; and it segments results by region, role, and business unit while incorporating quota structure (e.g., single vs. multi-metric plans) to identify localized inefficiencies—ultimately informing more accurate, fair, and motivating quota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Emp. Status, Employment Type, Hire Date, Termination Date, Quota assigned (month, year, product level), Revenue / Margin (month, year, product level), Variable Pay/ Commisions (Actual Pay), Fixed Pay (Actual Pay), On Target Incentives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Good-to-have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Job Title, Job Family / BU,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PERF-12</w:t>
      </w:r>
      <w:r>
        <w:rPr>
          <w:rFonts w:ascii="Arial" w:cs="Arial" w:eastAsia="Arial" w:hAnsi="Arial"/>
          <w:sz w:val="20"/>
          <w:szCs w:val="20"/>
        </w:rPr>
        <w:t xml:space="preserve">  </w:t>
      </w:r>
      <w:r>
        <w:rPr>
          <w:rFonts w:ascii="Arial" w:cs="Arial" w:eastAsia="Arial" w:hAnsi="Arial"/>
          <w:b/>
          <w:bCs/>
          <w:sz w:val="20"/>
          <w:szCs w:val="20"/>
        </w:rPr>
        <w:t xml:space="preserve">Attainment Curve vs. Optimal Theoretical Distribution</w:t>
      </w:r>
    </w:p>
    <w:p>
      <w:pPr>
        <w:spacing w:after="30" w:before="20"/>
      </w:pPr>
      <w:r>
        <w:rPr>
          <w:rFonts w:ascii="Arial" w:cs="Arial" w:eastAsia="Arial" w:hAnsi="Arial"/>
          <w:sz w:val="20"/>
          <w:szCs w:val="20"/>
        </w:rPr>
        <w:t xml:space="preserve">Compares the company's actual attainment curve against the optimal theoretical distribution (bottom 10% non-performers, mid 70% within 75–125%, top 20% above 125%, with extreme cases &lt;3%) to diagnose plan health. Identifies clustering at low attainment bands as a signal of quota-setting issues or salesforce underperformance, low concentration in the 75–125% range as a signal of mis-aligned quotas, and outsized volume in extreme bands (&gt;300%) to flag fairness or design issues. Provides the headline diagnostic on whether the overall plan is well-calibrated.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PERF-13</w:t>
      </w:r>
      <w:r>
        <w:rPr>
          <w:rFonts w:ascii="Arial" w:cs="Arial" w:eastAsia="Arial" w:hAnsi="Arial"/>
          <w:sz w:val="20"/>
          <w:szCs w:val="20"/>
        </w:rPr>
        <w:t xml:space="preserve">  </w:t>
      </w:r>
      <w:r>
        <w:rPr>
          <w:rFonts w:ascii="Arial" w:cs="Arial" w:eastAsia="Arial" w:hAnsi="Arial"/>
          <w:b/>
          <w:bCs/>
          <w:sz w:val="20"/>
          <w:szCs w:val="20"/>
        </w:rPr>
        <w:t xml:space="preserve">Company vs. Peer Quota Targets and Actual Attainment</w:t>
      </w:r>
    </w:p>
    <w:p>
      <w:pPr>
        <w:spacing w:after="30" w:before="20"/>
      </w:pPr>
      <w:r>
        <w:rPr>
          <w:rFonts w:ascii="Arial" w:cs="Arial" w:eastAsia="Arial" w:hAnsi="Arial"/>
          <w:sz w:val="20"/>
          <w:szCs w:val="20"/>
        </w:rPr>
        <w:t xml:space="preserve">Benchmarks the company's average target quota attainment level and actual realized attainment against peer/industry benchmarks. Highlights gaps between targeted attainment and peer practice (are quotas being set high enough?) and between actual attainment and peer norms (are reps performing in line with the market?), separating quota-setting issues from execution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PERF-14</w:t>
      </w:r>
      <w:r>
        <w:rPr>
          <w:rFonts w:ascii="Arial" w:cs="Arial" w:eastAsia="Arial" w:hAnsi="Arial"/>
          <w:sz w:val="20"/>
          <w:szCs w:val="20"/>
        </w:rPr>
        <w:t xml:space="preserve">  </w:t>
      </w:r>
      <w:r>
        <w:rPr>
          <w:rFonts w:ascii="Arial" w:cs="Arial" w:eastAsia="Arial" w:hAnsi="Arial"/>
          <w:b/>
          <w:bCs/>
          <w:sz w:val="20"/>
          <w:szCs w:val="20"/>
        </w:rPr>
        <w:t xml:space="preserve">Share of Reps Meeting or Exceeding Quota vs. Benchmark</w:t>
      </w:r>
    </w:p>
    <w:p>
      <w:pPr>
        <w:spacing w:after="30" w:before="20"/>
      </w:pPr>
      <w:r>
        <w:rPr>
          <w:rFonts w:ascii="Arial" w:cs="Arial" w:eastAsia="Arial" w:hAnsi="Arial"/>
          <w:sz w:val="20"/>
          <w:szCs w:val="20"/>
        </w:rPr>
        <w:t xml:space="preserve">Measures the percentage of reps falling into key attainment bands (Below 75%, 75–125%, 125–200%, Above 200%) and compares the company's distribution to a peer benchmark. Quantifies how the company's share of reps at or above quota — and the share in the high-performer tail — stacks up against external norms, surfacing calibration and performance management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PERF-15</w:t>
      </w:r>
      <w:r>
        <w:rPr>
          <w:rFonts w:ascii="Arial" w:cs="Arial" w:eastAsia="Arial" w:hAnsi="Arial"/>
          <w:sz w:val="20"/>
          <w:szCs w:val="20"/>
        </w:rPr>
        <w:t xml:space="preserve">  </w:t>
      </w:r>
      <w:r>
        <w:rPr>
          <w:rFonts w:ascii="Arial" w:cs="Arial" w:eastAsia="Arial" w:hAnsi="Arial"/>
          <w:b/>
          <w:bCs/>
          <w:sz w:val="20"/>
          <w:szCs w:val="20"/>
        </w:rPr>
        <w:t xml:space="preserve">Regional Attainment Curve Comparison</w:t>
      </w:r>
    </w:p>
    <w:p>
      <w:pPr>
        <w:spacing w:after="30" w:before="20"/>
      </w:pPr>
      <w:r>
        <w:rPr>
          <w:rFonts w:ascii="Arial" w:cs="Arial" w:eastAsia="Arial" w:hAnsi="Arial"/>
          <w:sz w:val="20"/>
          <w:szCs w:val="20"/>
        </w:rPr>
        <w:t xml:space="preserve">Disaggregates the attainment curve by geographic region to identify regional variances in plan health. Reveals whether some regions are well-calibrated while others show heavy clustering at low attainment (under-performance or over-aggressive quotas) or in extreme high bands (under-aggressive quotas or windfall accounts), informing region-specific quota and coverage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PERF-16</w:t>
      </w:r>
      <w:r>
        <w:rPr>
          <w:rFonts w:ascii="Arial" w:cs="Arial" w:eastAsia="Arial" w:hAnsi="Arial"/>
          <w:sz w:val="20"/>
          <w:szCs w:val="20"/>
        </w:rPr>
        <w:t xml:space="preserve">  </w:t>
      </w:r>
      <w:r>
        <w:rPr>
          <w:rFonts w:ascii="Arial" w:cs="Arial" w:eastAsia="Arial" w:hAnsi="Arial"/>
          <w:b/>
          <w:bCs/>
          <w:sz w:val="20"/>
          <w:szCs w:val="20"/>
        </w:rPr>
        <w:t xml:space="preserve">Role / Business Function Attainment Curve Comparison</w:t>
      </w:r>
    </w:p>
    <w:p>
      <w:pPr>
        <w:spacing w:after="30" w:before="20"/>
      </w:pPr>
      <w:r>
        <w:rPr>
          <w:rFonts w:ascii="Arial" w:cs="Arial" w:eastAsia="Arial" w:hAnsi="Arial"/>
          <w:sz w:val="20"/>
          <w:szCs w:val="20"/>
        </w:rPr>
        <w:t xml:space="preserve">Disaggregates the attainment curve by sales role or business function (e.g., Business Function A, B, C, D) to identify role-wise variances. Surfaces whether specific roles are systematically under- or over-attaining, indicating that quota structures, ramp expectations, or enablement may need to be tailored by role rather than applied uniformly across the salesforce.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PERF-17</w:t>
      </w:r>
      <w:r>
        <w:rPr>
          <w:rFonts w:ascii="Arial" w:cs="Arial" w:eastAsia="Arial" w:hAnsi="Arial"/>
          <w:sz w:val="20"/>
          <w:szCs w:val="20"/>
        </w:rPr>
        <w:t xml:space="preserve">  </w:t>
      </w:r>
      <w:r>
        <w:rPr>
          <w:rFonts w:ascii="Arial" w:cs="Arial" w:eastAsia="Arial" w:hAnsi="Arial"/>
          <w:b/>
          <w:bCs/>
          <w:sz w:val="20"/>
          <w:szCs w:val="20"/>
        </w:rPr>
        <w:t xml:space="preserve">Quota Attainment by Tenure Cohort Over Time</w:t>
      </w:r>
    </w:p>
    <w:p>
      <w:pPr>
        <w:spacing w:after="30" w:before="20"/>
      </w:pPr>
      <w:r>
        <w:rPr>
          <w:rFonts w:ascii="Arial" w:cs="Arial" w:eastAsia="Arial" w:hAnsi="Arial"/>
          <w:sz w:val="20"/>
          <w:szCs w:val="20"/>
        </w:rPr>
        <w:t xml:space="preserve">Breaks down the share of reps in each attainment band (Less than 25%, 25–&lt;50%, … 200%+) across tenure cohorts (0–9, 9–15, 15–24, 24+ months) and tracks this across multiple quarters (e.g., FY24 Q3 through FY25 Q2). Reveals whether attainment is deteriorating over time across the salesforce, whether tenured reps are out-performing newer reps as expected, and whether the share of reps attaining quota is trending in the right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PERF-18</w:t>
      </w:r>
      <w:r>
        <w:rPr>
          <w:rFonts w:ascii="Arial" w:cs="Arial" w:eastAsia="Arial" w:hAnsi="Arial"/>
          <w:sz w:val="20"/>
          <w:szCs w:val="20"/>
        </w:rPr>
        <w:t xml:space="preserve">  </w:t>
      </w:r>
      <w:r>
        <w:rPr>
          <w:rFonts w:ascii="Arial" w:cs="Arial" w:eastAsia="Arial" w:hAnsi="Arial"/>
          <w:b/>
          <w:bCs/>
          <w:sz w:val="20"/>
          <w:szCs w:val="20"/>
        </w:rPr>
        <w:t xml:space="preserve">Average Quota and Attainment by Tenure Cohort</w:t>
      </w:r>
    </w:p>
    <w:p>
      <w:pPr>
        <w:spacing w:after="30" w:before="20"/>
      </w:pPr>
      <w:r>
        <w:rPr>
          <w:rFonts w:ascii="Arial" w:cs="Arial" w:eastAsia="Arial" w:hAnsi="Arial"/>
          <w:sz w:val="20"/>
          <w:szCs w:val="20"/>
        </w:rPr>
        <w:t xml:space="preserve">Plots average quota assigned ($K) alongside average attainment ($K) for each tenure cohort across multiple quarters. Diagnoses whether quotas scale appropriately with tenure (i.e., tenured reps carry higher quotas reflecting greater capacity), whether attainment keeps pace with rising quotas, and whether the attainment-to-quota gap is widening — particularly relevant when low attainment correlates with elevated AE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PERF-19</w:t>
      </w:r>
      <w:r>
        <w:rPr>
          <w:rFonts w:ascii="Arial" w:cs="Arial" w:eastAsia="Arial" w:hAnsi="Arial"/>
          <w:sz w:val="20"/>
          <w:szCs w:val="20"/>
        </w:rPr>
        <w:t xml:space="preserve">  </w:t>
      </w:r>
      <w:r>
        <w:rPr>
          <w:rFonts w:ascii="Arial" w:cs="Arial" w:eastAsia="Arial" w:hAnsi="Arial"/>
          <w:b/>
          <w:bCs/>
          <w:sz w:val="20"/>
          <w:szCs w:val="20"/>
        </w:rPr>
        <w:t xml:space="preserve">Quota Variability for Unramped Reps (Same Region, Tenure, Segment)</w:t>
      </w:r>
    </w:p>
    <w:p>
      <w:pPr>
        <w:spacing w:after="30" w:before="20"/>
      </w:pPr>
      <w:r>
        <w:rPr>
          <w:rFonts w:ascii="Arial" w:cs="Arial" w:eastAsia="Arial" w:hAnsi="Arial"/>
          <w:sz w:val="20"/>
          <w:szCs w:val="20"/>
        </w:rPr>
        <w:t xml:space="preserve">Uses box-and-whisker plots (1st quartile, median, 3rd quartile, average, individual rep dots) to show the spread of quotas assigned to unramped reps (0–9 months) within the same region, tenure band, and account segment, tracked across quarters. Surfaces quota fairness issues by exposing significant within-cohort variability — i.e., reps in identical circumstances being given materially different quotas — which can drive perceived inequity, demotivation, and attrition.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Quota Attainment Vs Tenure</w:t>
      </w:r>
    </w:p>
    <w:p>
      <w:pPr>
        <w:spacing w:after="30" w:before="120"/>
      </w:pPr>
      <w:r>
        <w:rPr>
          <w:rFonts w:ascii="Arial" w:cs="Arial" w:eastAsia="Arial" w:hAnsi="Arial"/>
          <w:b/>
          <w:bCs/>
          <w:color w:val="1F4E79"/>
          <w:sz w:val="20"/>
          <w:szCs w:val="20"/>
        </w:rPr>
        <w:t xml:space="preserve">PERF-20</w:t>
      </w:r>
      <w:r>
        <w:rPr>
          <w:rFonts w:ascii="Arial" w:cs="Arial" w:eastAsia="Arial" w:hAnsi="Arial"/>
          <w:sz w:val="20"/>
          <w:szCs w:val="20"/>
        </w:rPr>
        <w:t xml:space="preserve">  </w:t>
      </w:r>
      <w:r>
        <w:rPr>
          <w:rFonts w:ascii="Arial" w:cs="Arial" w:eastAsia="Arial" w:hAnsi="Arial"/>
          <w:b/>
          <w:bCs/>
          <w:sz w:val="20"/>
          <w:szCs w:val="20"/>
        </w:rPr>
        <w:t xml:space="preserve">Quota Attainment Vs Tenure</w:t>
      </w:r>
    </w:p>
    <w:p>
      <w:pPr>
        <w:spacing w:after="30" w:before="20"/>
      </w:pPr>
      <w:r>
        <w:rPr>
          <w:rFonts w:ascii="Arial" w:cs="Arial" w:eastAsia="Arial" w:hAnsi="Arial"/>
          <w:sz w:val="20"/>
          <w:szCs w:val="20"/>
        </w:rPr>
        <w:t xml:space="preserve">This analysis evaluates how sales rep performance evolves with tenure by examining quota attainment levels across different experience cohorts (e.g., 0–9 months, 9–15 months, 15–24 months, 24+ months), providing a view into ramp effectiveness and long-term productivity; it compares average quota vs. actual attainment by tenure to assess whether ramp curves are realistic and whether tenured reps are delivering expected productivity levels; it analyzes the share of reps meeting or exceeding quota within each tenure band and benchmarks this against expected norms to identify gaps in onboarding, enablement, or ongoing performance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Emp. Status, Employment Type, Hire Date, Termination Date, Quota assigned (month, year, product level), Revenue / Margin (month, year, product level), Variable Pay/ Commisions (Actual Pay), Fixed Pay (Actual Pay), On Target Incentives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Good-to-have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Job Title, Job Family / BU,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Ramp Up Time</w:t>
      </w:r>
    </w:p>
    <w:p>
      <w:pPr>
        <w:spacing w:after="30" w:before="120"/>
      </w:pPr>
      <w:r>
        <w:rPr>
          <w:rFonts w:ascii="Arial" w:cs="Arial" w:eastAsia="Arial" w:hAnsi="Arial"/>
          <w:b/>
          <w:bCs/>
          <w:color w:val="1F4E79"/>
          <w:sz w:val="20"/>
          <w:szCs w:val="20"/>
        </w:rPr>
        <w:t xml:space="preserve">PERF-21</w:t>
      </w:r>
      <w:r>
        <w:rPr>
          <w:rFonts w:ascii="Arial" w:cs="Arial" w:eastAsia="Arial" w:hAnsi="Arial"/>
          <w:sz w:val="20"/>
          <w:szCs w:val="20"/>
        </w:rPr>
        <w:t xml:space="preserve">  </w:t>
      </w:r>
      <w:r>
        <w:rPr>
          <w:rFonts w:ascii="Arial" w:cs="Arial" w:eastAsia="Arial" w:hAnsi="Arial"/>
          <w:b/>
          <w:bCs/>
          <w:sz w:val="20"/>
          <w:szCs w:val="20"/>
        </w:rPr>
        <w:t xml:space="preserve">Ramp Up Time</w:t>
      </w:r>
    </w:p>
    <w:p>
      <w:pPr>
        <w:spacing w:after="30" w:before="20"/>
      </w:pPr>
      <w:r>
        <w:rPr>
          <w:rFonts w:ascii="Arial" w:cs="Arial" w:eastAsia="Arial" w:hAnsi="Arial"/>
          <w:sz w:val="20"/>
          <w:szCs w:val="20"/>
        </w:rPr>
        <w:t xml:space="preserve">Ramp up time analysis evaluates how quickly new sales reps reach full productivity by examining quota levels, attainment, and performance progression across early-tenure cohorts (e.g., 0–9 months, 9–15 months), providing a clear view of ramp efficiency and time-to-productivity; it assesses whether ramp expectations (quotas and targets) are consistently and appropriately calibrated for new hires by analyzing variability within similar tenure bands, roles, regions, and segments—highlighting potential inconsistencies in quota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Job Title, Job Family / BU, Emp. Status, Employment Type, Hire Date, Termination Date, Quota assigned (month, year, product level), Revenue / Margin (month, year, product level), Variable Pay/ Commisions (Actual Pay), Fixed Pay (Actual Pay), On Target Incentives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Rep productivity, quota, ramp or attainment exhibit</w:t>
            </w:r>
          </w:p>
        </w:tc>
      </w:tr>
    </w:tbl>
    <w:p>
      <w:pPr>
        <w:spacing w:after="60" w:before="60"/>
      </w:pPr>
      <w:r>
        <w:t xml:space="preserve"/>
      </w:r>
    </w:p>
    <w:p>
      <w:pPr>
        <w:spacing w:after="60" w:before="60"/>
      </w:pPr>
      <w:r>
        <w:t xml:space="preserve"/>
      </w:r>
    </w:p>
    <w:p>
      <w:r>
        <w:br w:type="page"/>
      </w:r>
    </w:p>
    <w:p>
      <w:pPr>
        <w:pStyle w:val="Heading2"/>
        <w:spacing w:after="140" w:before="280"/>
      </w:pPr>
      <w:r>
        <w:rPr>
          <w:rFonts w:ascii="Arial" w:cs="Arial" w:eastAsia="Arial" w:hAnsi="Arial"/>
          <w:b/>
          <w:bCs/>
          <w:color w:val="1F4E79"/>
          <w:sz w:val="28"/>
          <w:szCs w:val="28"/>
        </w:rPr>
        <w:t xml:space="preserve">8. Compensation</w:t>
      </w:r>
    </w:p>
    <w:p>
      <w:pPr>
        <w:spacing w:after="80" w:before="80"/>
      </w:pPr>
      <w:r>
        <w:rPr>
          <w:rFonts w:ascii="Arial" w:cs="Arial" w:eastAsia="Arial" w:hAnsi="Arial"/>
          <w:sz w:val="20"/>
          <w:szCs w:val="20"/>
        </w:rPr>
        <w:t xml:space="preserve">Module ID prefix: </w:t>
      </w:r>
      <w:r>
        <w:rPr>
          <w:rFonts w:ascii="Arial" w:cs="Arial" w:eastAsia="Arial" w:hAnsi="Arial"/>
          <w:b/>
          <w:bCs/>
          <w:sz w:val="20"/>
          <w:szCs w:val="20"/>
        </w:rPr>
        <w:t xml:space="preserve">COMP</w:t>
      </w:r>
      <w:r>
        <w:rPr>
          <w:rFonts w:ascii="Arial" w:cs="Arial" w:eastAsia="Arial" w:hAnsi="Arial"/>
          <w:sz w:val="20"/>
          <w:szCs w:val="20"/>
        </w:rPr>
        <w:t xml:space="preserve">. Contains 4 analyses.</w:t>
      </w:r>
    </w:p>
    <w:p>
      <w:pPr>
        <w:pStyle w:val="Heading3"/>
        <w:spacing w:after="100" w:before="220"/>
      </w:pPr>
      <w:r>
        <w:rPr>
          <w:rFonts w:ascii="Arial" w:cs="Arial" w:eastAsia="Arial" w:hAnsi="Arial"/>
          <w:b/>
          <w:bCs/>
          <w:color w:val="2E75B6"/>
          <w:sz w:val="24"/>
          <w:szCs w:val="24"/>
        </w:rPr>
        <w:t xml:space="preserve">Compensation Structure (Fixed Vs Variable)</w:t>
      </w:r>
    </w:p>
    <w:p>
      <w:pPr>
        <w:spacing w:after="30" w:before="120"/>
      </w:pPr>
      <w:r>
        <w:rPr>
          <w:rFonts w:ascii="Arial" w:cs="Arial" w:eastAsia="Arial" w:hAnsi="Arial"/>
          <w:b/>
          <w:bCs/>
          <w:color w:val="1F4E79"/>
          <w:sz w:val="20"/>
          <w:szCs w:val="20"/>
        </w:rPr>
        <w:t xml:space="preserve">COMP-01</w:t>
      </w:r>
      <w:r>
        <w:rPr>
          <w:rFonts w:ascii="Arial" w:cs="Arial" w:eastAsia="Arial" w:hAnsi="Arial"/>
          <w:sz w:val="20"/>
          <w:szCs w:val="20"/>
        </w:rPr>
        <w:t xml:space="preserve">  </w:t>
      </w:r>
      <w:r>
        <w:rPr>
          <w:rFonts w:ascii="Arial" w:cs="Arial" w:eastAsia="Arial" w:hAnsi="Arial"/>
          <w:b/>
          <w:bCs/>
          <w:sz w:val="20"/>
          <w:szCs w:val="20"/>
        </w:rPr>
        <w:t xml:space="preserve">Compensation Structure (Fixed Vs Variable)</w:t>
      </w:r>
    </w:p>
    <w:p>
      <w:pPr>
        <w:spacing w:after="30" w:before="20"/>
      </w:pPr>
      <w:r>
        <w:rPr>
          <w:rFonts w:ascii="Arial" w:cs="Arial" w:eastAsia="Arial" w:hAnsi="Arial"/>
          <w:sz w:val="20"/>
          <w:szCs w:val="20"/>
        </w:rPr>
        <w:t xml:space="preserve">Compensation structure analysis evaluates the balance between fixed (base salary) and variable (incentive/commission) components of sales compensation to assess whether the pay mix appropriately drives performance-oriented behavior; it benchmarks the fixed-to-variable split across roles, regions, and segments against industry standards to determine competitiveness and alignment with best practices, particularly for frontline vs. support roles; it analyzes variation in pay mix to identify inconsistencies that may lead to misaligned incentives, such as overly high fixed pay reducing performance motivation or excessive variable pay increasing income volatility and retention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Emp. Status, Employment Type, Termination Date, Quota assigned (month, year, product level), Revenue / Margin (month, year, product level), Variable Pay/ Commisions (Actual Pay), Fixed Pay (Actual Pay), On Target Incentives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Good-to-have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Hire Date,  Job Title, Job Family / BU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 benchmark or pay-for-performance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Median OTE (On-Target Earnings) by Role vs. Industry Benchmark</w:t>
      </w:r>
    </w:p>
    <w:p>
      <w:pPr>
        <w:spacing w:after="30" w:before="120"/>
      </w:pPr>
      <w:r>
        <w:rPr>
          <w:rFonts w:ascii="Arial" w:cs="Arial" w:eastAsia="Arial" w:hAnsi="Arial"/>
          <w:b/>
          <w:bCs/>
          <w:color w:val="1F4E79"/>
          <w:sz w:val="20"/>
          <w:szCs w:val="20"/>
        </w:rPr>
        <w:t xml:space="preserve">COMP-02</w:t>
      </w:r>
      <w:r>
        <w:rPr>
          <w:rFonts w:ascii="Arial" w:cs="Arial" w:eastAsia="Arial" w:hAnsi="Arial"/>
          <w:sz w:val="20"/>
          <w:szCs w:val="20"/>
        </w:rPr>
        <w:t xml:space="preserve">  </w:t>
      </w:r>
      <w:r>
        <w:rPr>
          <w:rFonts w:ascii="Arial" w:cs="Arial" w:eastAsia="Arial" w:hAnsi="Arial"/>
          <w:b/>
          <w:bCs/>
          <w:sz w:val="20"/>
          <w:szCs w:val="20"/>
        </w:rPr>
        <w:t xml:space="preserve">Median OTE (On-Target Earnings) by Role vs. Industry Benchmark</w:t>
      </w:r>
    </w:p>
    <w:p>
      <w:pPr>
        <w:spacing w:after="30" w:before="20"/>
      </w:pPr>
      <w:r>
        <w:rPr>
          <w:rFonts w:ascii="Arial" w:cs="Arial" w:eastAsia="Arial" w:hAnsi="Arial"/>
          <w:sz w:val="20"/>
          <w:szCs w:val="20"/>
        </w:rPr>
        <w:t xml:space="preserve">Compares the company's median OTE for each sales role (e.g., Role 1, Role 2, Role 3) against the corresponding industry benchmark for that role. Diagnoses how competitive the total salary package is at a role-by-role level, whether competitiveness holds across seniority levels (frontline vs. managers vs. senior leadership), and where targeted pay adjustments are needed to remain best-in-class.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 benchmark or pay-for-performance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Compensation Payout Curves</w:t>
      </w:r>
    </w:p>
    <w:p>
      <w:pPr>
        <w:spacing w:after="30" w:before="120"/>
      </w:pPr>
      <w:r>
        <w:rPr>
          <w:rFonts w:ascii="Arial" w:cs="Arial" w:eastAsia="Arial" w:hAnsi="Arial"/>
          <w:b/>
          <w:bCs/>
          <w:color w:val="1F4E79"/>
          <w:sz w:val="20"/>
          <w:szCs w:val="20"/>
        </w:rPr>
        <w:t xml:space="preserve">COMP-03</w:t>
      </w:r>
      <w:r>
        <w:rPr>
          <w:rFonts w:ascii="Arial" w:cs="Arial" w:eastAsia="Arial" w:hAnsi="Arial"/>
          <w:sz w:val="20"/>
          <w:szCs w:val="20"/>
        </w:rPr>
        <w:t xml:space="preserve">  </w:t>
      </w:r>
      <w:r>
        <w:rPr>
          <w:rFonts w:ascii="Arial" w:cs="Arial" w:eastAsia="Arial" w:hAnsi="Arial"/>
          <w:b/>
          <w:bCs/>
          <w:sz w:val="20"/>
          <w:szCs w:val="20"/>
        </w:rPr>
        <w:t xml:space="preserve">Compensation Payout Curves</w:t>
      </w:r>
    </w:p>
    <w:p>
      <w:pPr>
        <w:spacing w:after="30" w:before="20"/>
      </w:pPr>
      <w:r>
        <w:rPr>
          <w:rFonts w:ascii="Arial" w:cs="Arial" w:eastAsia="Arial" w:hAnsi="Arial"/>
          <w:sz w:val="20"/>
          <w:szCs w:val="20"/>
        </w:rPr>
        <w:t xml:space="preserve">Payout curve analysis evaluates the effectiveness of incentive design by examining the relationship between quota attainment and payout to assess whether reward mechanisms appropriately drive desired sales behaviors; it analyzes the slope and structure of payout curves (including thresholds, accelerators, and decelerators) to determine how stringent the penalty is for underperformance and whether low attainment meaningfully reduces earnings to enforce accountability; it assesses the adequacy and competitiveness of rewards for overperformance by evaluating accelerator strength and payout upside to ensure top performers are sufficiently motivated without creating disproportionate cost exposure; it examines the presence and design of risk controls such as caps, decelerators, and payout cliffs to limit excessive payouts in cases of extreme overachievement while balancing potential disincentives for high performers; it evaluates how multipliers vary across attainment bands to ensure a smooth and logical progression that aligns effort with reward and avoids unintended distortions (e.g., payout spikes or flat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Job Title, Job Family / BU, Emp. Status, Employment Type, Hire Date, Termination Date, Quota assigned (month, year, product level), Revenue / Margin (month, year, product level), Variable Pay/ Commisions (Actual Pay), Fixed Pay (Actual Pay), On Target Incentives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 benchmark or pay-for-performance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Compensation vs Quota attainment</w:t>
      </w:r>
    </w:p>
    <w:p>
      <w:pPr>
        <w:spacing w:after="30" w:before="120"/>
      </w:pPr>
      <w:r>
        <w:rPr>
          <w:rFonts w:ascii="Arial" w:cs="Arial" w:eastAsia="Arial" w:hAnsi="Arial"/>
          <w:b/>
          <w:bCs/>
          <w:color w:val="1F4E79"/>
          <w:sz w:val="20"/>
          <w:szCs w:val="20"/>
        </w:rPr>
        <w:t xml:space="preserve">COMP-04</w:t>
      </w:r>
      <w:r>
        <w:rPr>
          <w:rFonts w:ascii="Arial" w:cs="Arial" w:eastAsia="Arial" w:hAnsi="Arial"/>
          <w:sz w:val="20"/>
          <w:szCs w:val="20"/>
        </w:rPr>
        <w:t xml:space="preserve">  </w:t>
      </w:r>
      <w:r>
        <w:rPr>
          <w:rFonts w:ascii="Arial" w:cs="Arial" w:eastAsia="Arial" w:hAnsi="Arial"/>
          <w:b/>
          <w:bCs/>
          <w:sz w:val="20"/>
          <w:szCs w:val="20"/>
        </w:rPr>
        <w:t xml:space="preserve">Compensation vs Quota attainment</w:t>
      </w:r>
    </w:p>
    <w:p>
      <w:pPr>
        <w:spacing w:after="30" w:before="20"/>
      </w:pPr>
      <w:r>
        <w:rPr>
          <w:rFonts w:ascii="Arial" w:cs="Arial" w:eastAsia="Arial" w:hAnsi="Arial"/>
          <w:sz w:val="20"/>
          <w:szCs w:val="20"/>
        </w:rPr>
        <w:t xml:space="preserve">Compensation vs quota attainment analysis evaluates the alignment between sales performance and financial rewards by examining the relationship between quota attainment and actual incentive payouts, ensuring that compensation outcomes are directly linked to performance; it assesses whether high performers are meaningfully rewarded more than underperformers by analyzing payout dispersion relative to attainment and benchmarking against an “ideal” pay-for-performance curve; it identifies inconsistencies such as similar attainment levels yielding significantly different payouts or disproportionate rewards for certain reps, highlighting potential issues in plan design, crediting rules, or exception handling; it evaluates the strength of performance differentiation by assessing how sharply payouts increase with higher attainment, ensuring sufficient motivation for top performers while maintaining fairness; it analyzes the presence of outliers (e.g., extremely high payouts at moderate attainment levels) to uncover potential payout leakage or structural flaws; and it assesses overall payout risk by quantifying the financial exposure from overperformance scenarios and identifying whether current mechanisms (or lack thereof) could lead to excessive or unintended compensation costs—ultimately informing improvements to ensure a fair, performance-driven, and financially sustainable compensation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Employee ID, Job Title, Job Family / BU, Emp. Status, Employment Type, Hire Date, Termination Date, Quota assigned (month, year, product level), Revenue / Margin (month, year, product level), Variable Pay/ Commisions (Actual Pay), Fixed Pay (Actual Pay), On Target Incentives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Compensation benchmark or pay-for-performance exhibit</w:t>
            </w:r>
          </w:p>
        </w:tc>
      </w:tr>
    </w:tbl>
    <w:p>
      <w:pPr>
        <w:spacing w:after="60" w:before="60"/>
      </w:pPr>
      <w:r>
        <w:t xml:space="preserve"/>
      </w:r>
    </w:p>
    <w:p>
      <w:pPr>
        <w:spacing w:after="60" w:before="60"/>
      </w:pPr>
      <w:r>
        <w:t xml:space="preserve"/>
      </w:r>
    </w:p>
    <w:p>
      <w:r>
        <w:br w:type="page"/>
      </w:r>
    </w:p>
    <w:p>
      <w:pPr>
        <w:pStyle w:val="Heading2"/>
        <w:spacing w:after="140" w:before="280"/>
      </w:pPr>
      <w:r>
        <w:rPr>
          <w:rFonts w:ascii="Arial" w:cs="Arial" w:eastAsia="Arial" w:hAnsi="Arial"/>
          <w:b/>
          <w:bCs/>
          <w:color w:val="1F4E79"/>
          <w:sz w:val="28"/>
          <w:szCs w:val="28"/>
        </w:rPr>
        <w:t xml:space="preserve">9. Customer Analysis</w:t>
      </w:r>
    </w:p>
    <w:p>
      <w:pPr>
        <w:spacing w:after="80" w:before="80"/>
      </w:pPr>
      <w:r>
        <w:rPr>
          <w:rFonts w:ascii="Arial" w:cs="Arial" w:eastAsia="Arial" w:hAnsi="Arial"/>
          <w:sz w:val="20"/>
          <w:szCs w:val="20"/>
        </w:rPr>
        <w:t xml:space="preserve">Module ID prefix: </w:t>
      </w:r>
      <w:r>
        <w:rPr>
          <w:rFonts w:ascii="Arial" w:cs="Arial" w:eastAsia="Arial" w:hAnsi="Arial"/>
          <w:b/>
          <w:bCs/>
          <w:sz w:val="20"/>
          <w:szCs w:val="20"/>
        </w:rPr>
        <w:t xml:space="preserve">CUST</w:t>
      </w:r>
      <w:r>
        <w:rPr>
          <w:rFonts w:ascii="Arial" w:cs="Arial" w:eastAsia="Arial" w:hAnsi="Arial"/>
          <w:sz w:val="20"/>
          <w:szCs w:val="20"/>
        </w:rPr>
        <w:t xml:space="preserve">. Contains 13 analyses.</w:t>
      </w:r>
    </w:p>
    <w:p>
      <w:pPr>
        <w:pStyle w:val="Heading3"/>
        <w:spacing w:after="100" w:before="220"/>
      </w:pPr>
      <w:r>
        <w:rPr>
          <w:rFonts w:ascii="Arial" w:cs="Arial" w:eastAsia="Arial" w:hAnsi="Arial"/>
          <w:b/>
          <w:bCs/>
          <w:color w:val="2E75B6"/>
          <w:sz w:val="24"/>
          <w:szCs w:val="24"/>
        </w:rPr>
        <w:t xml:space="preserve">Pareto Analysis</w:t>
      </w:r>
    </w:p>
    <w:p>
      <w:pPr>
        <w:spacing w:after="30" w:before="120"/>
      </w:pPr>
      <w:r>
        <w:rPr>
          <w:rFonts w:ascii="Arial" w:cs="Arial" w:eastAsia="Arial" w:hAnsi="Arial"/>
          <w:b/>
          <w:bCs/>
          <w:color w:val="1F4E79"/>
          <w:sz w:val="20"/>
          <w:szCs w:val="20"/>
        </w:rPr>
        <w:t xml:space="preserve">CUST-01</w:t>
      </w:r>
      <w:r>
        <w:rPr>
          <w:rFonts w:ascii="Arial" w:cs="Arial" w:eastAsia="Arial" w:hAnsi="Arial"/>
          <w:sz w:val="20"/>
          <w:szCs w:val="20"/>
        </w:rPr>
        <w:t xml:space="preserve">  </w:t>
      </w:r>
      <w:r>
        <w:rPr>
          <w:rFonts w:ascii="Arial" w:cs="Arial" w:eastAsia="Arial" w:hAnsi="Arial"/>
          <w:b/>
          <w:bCs/>
          <w:sz w:val="20"/>
          <w:szCs w:val="20"/>
        </w:rPr>
        <w:t xml:space="preserve">Pareto Analysis</w:t>
      </w:r>
    </w:p>
    <w:p>
      <w:pPr>
        <w:spacing w:after="30" w:before="20"/>
      </w:pPr>
      <w:r>
        <w:rPr>
          <w:rFonts w:ascii="Arial" w:cs="Arial" w:eastAsia="Arial" w:hAnsi="Arial"/>
          <w:sz w:val="20"/>
          <w:szCs w:val="20"/>
        </w:rPr>
        <w:t xml:space="preserve">Customer Pareto analysis evaluates the concentration of revenue or margin contribution across the customer base by ranking customers (or accounts/products) in descending order of contribution and assessing cumulative impact, providing a clear view of value concentration and long-tail dynamics; it quantifies the extent to which a small subset of customers (e.g., top 5–10%) drives a disproportionate share of revenue or margin (often ~70–80%), highlighting reliance on key accounts and potential concentration risk; it identifies underperforming or loss-making segments within the long tail (e.g., bottom cohorts contributing minimal or negative margin), signaling opportunities for pricing optimization, cost rationalization, or portfolio pruning; it compares variability in contribution across top accounts to assess consistency in pricing, discounting, and margin realization; it enables segmentation of customers into strategic tiers (e.g., core, growth, long tail) to inform differentiated go-to-market and account management strategies; and it highlights actionable levers such as improving monetization of the long tail, rebalancing pricing structures, or deepening engagement with high-value accounts—ultimately supporting more focused resource allocation and margin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ID / Name, Year / Date, Revenue / Gross Margin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Good-to-have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Region / Segment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Cube, Transaction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MKT, IBV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Sources of Growth</w:t>
      </w:r>
    </w:p>
    <w:p>
      <w:pPr>
        <w:spacing w:after="30" w:before="120"/>
      </w:pPr>
      <w:r>
        <w:rPr>
          <w:rFonts w:ascii="Arial" w:cs="Arial" w:eastAsia="Arial" w:hAnsi="Arial"/>
          <w:b/>
          <w:bCs/>
          <w:color w:val="1F4E79"/>
          <w:sz w:val="20"/>
          <w:szCs w:val="20"/>
        </w:rPr>
        <w:t xml:space="preserve">CUST-02</w:t>
      </w:r>
      <w:r>
        <w:rPr>
          <w:rFonts w:ascii="Arial" w:cs="Arial" w:eastAsia="Arial" w:hAnsi="Arial"/>
          <w:sz w:val="20"/>
          <w:szCs w:val="20"/>
        </w:rPr>
        <w:t xml:space="preserve">  </w:t>
      </w:r>
      <w:r>
        <w:rPr>
          <w:rFonts w:ascii="Arial" w:cs="Arial" w:eastAsia="Arial" w:hAnsi="Arial"/>
          <w:b/>
          <w:bCs/>
          <w:sz w:val="20"/>
          <w:szCs w:val="20"/>
        </w:rPr>
        <w:t xml:space="preserve">Customer-Level YoY Revenue Bridge</w:t>
      </w:r>
    </w:p>
    <w:p>
      <w:pPr>
        <w:spacing w:after="30" w:before="20"/>
      </w:pPr>
      <w:r>
        <w:rPr>
          <w:rFonts w:ascii="Arial" w:cs="Arial" w:eastAsia="Arial" w:hAnsi="Arial"/>
          <w:sz w:val="20"/>
          <w:szCs w:val="20"/>
        </w:rPr>
        <w:t xml:space="preserve">Applies a structured customer-level bridge that classifies every year-over-year revenue movement into one of the core SOG buckets (new logo, upsell, cross-sell, downsell, churn, win-back) and reconciles the total back to the reported revenue change. This ensures every dollar of growth or decline is attributed to a specific driver, providing a defensible, fact-based foundation for all downstream SOG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Transaction ID, Customer ID / Customer Name, Year / Date, Revenue, Product / BU</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Good-to-have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Region / Segment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Transaction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IBV, MKT, PRC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CUST-03</w:t>
      </w:r>
      <w:r>
        <w:rPr>
          <w:rFonts w:ascii="Arial" w:cs="Arial" w:eastAsia="Arial" w:hAnsi="Arial"/>
          <w:sz w:val="20"/>
          <w:szCs w:val="20"/>
        </w:rPr>
        <w:t xml:space="preserve">  </w:t>
      </w:r>
      <w:r>
        <w:rPr>
          <w:rFonts w:ascii="Arial" w:cs="Arial" w:eastAsia="Arial" w:hAnsi="Arial"/>
          <w:b/>
          <w:bCs/>
          <w:sz w:val="20"/>
          <w:szCs w:val="20"/>
        </w:rPr>
        <w:t xml:space="preserve">Historical Revenue (CARR) Growth &amp; Industry Mix with Whitespace Penetration</w:t>
      </w:r>
    </w:p>
    <w:p>
      <w:pPr>
        <w:spacing w:after="30" w:before="20"/>
      </w:pPr>
      <w:r>
        <w:rPr>
          <w:rFonts w:ascii="Arial" w:cs="Arial" w:eastAsia="Arial" w:hAnsi="Arial"/>
          <w:sz w:val="20"/>
          <w:szCs w:val="20"/>
        </w:rPr>
        <w:t xml:space="preserve">Decomposes historical CARR growth (e.g., 2019–2023 CAGR) by industry vertical (Industry 1 through Industry 5) and overlays whitespace TAM and current penetration % for each industry. Identifies which industries have driven historical growth, which remain under-penetrated relative to their addressable market, and where the largest forward-looking whitespace opportunities sit, anchoring strategic prioritization across verticals.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MKT, IBV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CUST-04</w:t>
      </w:r>
      <w:r>
        <w:rPr>
          <w:rFonts w:ascii="Arial" w:cs="Arial" w:eastAsia="Arial" w:hAnsi="Arial"/>
          <w:sz w:val="20"/>
          <w:szCs w:val="20"/>
        </w:rPr>
        <w:t xml:space="preserve">  </w:t>
      </w:r>
      <w:r>
        <w:rPr>
          <w:rFonts w:ascii="Arial" w:cs="Arial" w:eastAsia="Arial" w:hAnsi="Arial"/>
          <w:b/>
          <w:bCs/>
          <w:sz w:val="20"/>
          <w:szCs w:val="20"/>
        </w:rPr>
        <w:t xml:space="preserve">New Logo Revenue Share vs. SaaS Benchmark</w:t>
      </w:r>
    </w:p>
    <w:p>
      <w:pPr>
        <w:spacing w:after="30" w:before="20"/>
      </w:pPr>
      <w:r>
        <w:rPr>
          <w:rFonts w:ascii="Arial" w:cs="Arial" w:eastAsia="Arial" w:hAnsi="Arial"/>
          <w:sz w:val="20"/>
          <w:szCs w:val="20"/>
        </w:rPr>
        <w:t xml:space="preserve">Compares the company's share of revenue from new logos against benchmarks (e.g., SaaS companies of comparable scale and growth rate, such as $30–$120M revenue with ~25% growth). Diagnoses whether the company is under-indexed on new logo acquisition relative to high-growth peers, framing the size of the new-logo gap that needs to be closed to sustain healthy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MKT, 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CUST-05</w:t>
      </w:r>
      <w:r>
        <w:rPr>
          <w:rFonts w:ascii="Arial" w:cs="Arial" w:eastAsia="Arial" w:hAnsi="Arial"/>
          <w:sz w:val="20"/>
          <w:szCs w:val="20"/>
        </w:rPr>
        <w:t xml:space="preserve">  </w:t>
      </w:r>
      <w:r>
        <w:rPr>
          <w:rFonts w:ascii="Arial" w:cs="Arial" w:eastAsia="Arial" w:hAnsi="Arial"/>
          <w:b/>
          <w:bCs/>
          <w:sz w:val="20"/>
          <w:szCs w:val="20"/>
        </w:rPr>
        <w:t xml:space="preserve">TAM by Industry and Region (Geographic Prioritization)</w:t>
      </w:r>
    </w:p>
    <w:p>
      <w:pPr>
        <w:spacing w:after="30" w:before="20"/>
      </w:pPr>
      <w:r>
        <w:rPr>
          <w:rFonts w:ascii="Arial" w:cs="Arial" w:eastAsia="Arial" w:hAnsi="Arial"/>
          <w:sz w:val="20"/>
          <w:szCs w:val="20"/>
        </w:rPr>
        <w:t xml:space="preserve">Uses a marimekko-style view to size greenfield TAM by industry and by region (e.g., US, EMEA, APAC), highlighting where current focus is concentrated vs. where the largest untapped opportunity sits. Identifies immediate-priority geographies (where penetration is low but conversion is feasible) vs. long-term priority geographies (large absolute opportunity but longer build), informing geographic sequencing of GTM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MKT, IBV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CUST-06</w:t>
      </w:r>
      <w:r>
        <w:rPr>
          <w:rFonts w:ascii="Arial" w:cs="Arial" w:eastAsia="Arial" w:hAnsi="Arial"/>
          <w:sz w:val="20"/>
          <w:szCs w:val="20"/>
        </w:rPr>
        <w:t xml:space="preserve">  </w:t>
      </w:r>
      <w:r>
        <w:rPr>
          <w:rFonts w:ascii="Arial" w:cs="Arial" w:eastAsia="Arial" w:hAnsi="Arial"/>
          <w:b/>
          <w:bCs/>
          <w:sz w:val="20"/>
          <w:szCs w:val="20"/>
        </w:rPr>
        <w:t xml:space="preserve">Gross Retention Rate (GRR) vs. SaaS Benchmarks</w:t>
      </w:r>
    </w:p>
    <w:p>
      <w:pPr>
        <w:spacing w:after="30" w:before="20"/>
      </w:pPr>
      <w:r>
        <w:rPr>
          <w:rFonts w:ascii="Arial" w:cs="Arial" w:eastAsia="Arial" w:hAnsi="Arial"/>
          <w:sz w:val="20"/>
          <w:szCs w:val="20"/>
        </w:rPr>
        <w:t xml:space="preserve">Compares the company's 2023 Gross Retention Rate against SaaS peer benchmarks segmented by revenue scale and growth rate (e.g., $200M–$350M with ~20% growth, $30M–$120M with ~25% growth). Isolates whether revenue leakage from churn and downsell is in line with peers or represents a structural retention issue separate from expansion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IBV, MKT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CUST-07</w:t>
      </w:r>
      <w:r>
        <w:rPr>
          <w:rFonts w:ascii="Arial" w:cs="Arial" w:eastAsia="Arial" w:hAnsi="Arial"/>
          <w:sz w:val="20"/>
          <w:szCs w:val="20"/>
        </w:rPr>
        <w:t xml:space="preserve">  </w:t>
      </w:r>
      <w:r>
        <w:rPr>
          <w:rFonts w:ascii="Arial" w:cs="Arial" w:eastAsia="Arial" w:hAnsi="Arial"/>
          <w:b/>
          <w:bCs/>
          <w:sz w:val="20"/>
          <w:szCs w:val="20"/>
        </w:rPr>
        <w:t xml:space="preserve">Net Retention Rate (NRR) vs. SaaS Benchmarks</w:t>
      </w:r>
    </w:p>
    <w:p>
      <w:pPr>
        <w:spacing w:after="30" w:before="20"/>
      </w:pPr>
      <w:r>
        <w:rPr>
          <w:rFonts w:ascii="Arial" w:cs="Arial" w:eastAsia="Arial" w:hAnsi="Arial"/>
          <w:sz w:val="20"/>
          <w:szCs w:val="20"/>
        </w:rPr>
        <w:t xml:space="preserve">Compares the company's 2023 Net Retention Rate against the same SaaS peer benchmarks. When read alongside GRR, isolates whether any NRR gap is being driven by weak expansion (upsell/cross-sell) rather than by churn — surfacing whether the opportunity lies in account management, product attach, or pricing/packaging rather than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IBV, MKT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CUST-08</w:t>
      </w:r>
      <w:r>
        <w:rPr>
          <w:rFonts w:ascii="Arial" w:cs="Arial" w:eastAsia="Arial" w:hAnsi="Arial"/>
          <w:sz w:val="20"/>
          <w:szCs w:val="20"/>
        </w:rPr>
        <w:t xml:space="preserve">  </w:t>
      </w:r>
      <w:r>
        <w:rPr>
          <w:rFonts w:ascii="Arial" w:cs="Arial" w:eastAsia="Arial" w:hAnsi="Arial"/>
          <w:b/>
          <w:bCs/>
          <w:sz w:val="20"/>
          <w:szCs w:val="20"/>
        </w:rPr>
        <w:t xml:space="preserve">New Logo &amp; Churn Composition by Service Line / Product</w:t>
      </w:r>
    </w:p>
    <w:p>
      <w:pPr>
        <w:spacing w:after="30" w:before="20"/>
      </w:pPr>
      <w:r>
        <w:rPr>
          <w:rFonts w:ascii="Arial" w:cs="Arial" w:eastAsia="Arial" w:hAnsi="Arial"/>
          <w:sz w:val="20"/>
          <w:szCs w:val="20"/>
        </w:rPr>
        <w:t xml:space="preserve">Breaks down new logo revenue and customer count by service line (e.g., Energy Procurement, Interconnection, Load Mgmt, Asset Mgmt, Data &amp; Advisory, Design-Build, IaaS) alongside churn revenue and customer count by the same service-line cuts. Identifies which products are the primary entry points for new customers ("land" products), which are driving the most leakage, and where mismatches exist between the products bringing customers in and the products losing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PRC, IBV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CUST-09</w:t>
      </w:r>
      <w:r>
        <w:rPr>
          <w:rFonts w:ascii="Arial" w:cs="Arial" w:eastAsia="Arial" w:hAnsi="Arial"/>
          <w:sz w:val="20"/>
          <w:szCs w:val="20"/>
        </w:rPr>
        <w:t xml:space="preserve">  </w:t>
      </w:r>
      <w:r>
        <w:rPr>
          <w:rFonts w:ascii="Arial" w:cs="Arial" w:eastAsia="Arial" w:hAnsi="Arial"/>
          <w:b/>
          <w:bCs/>
          <w:sz w:val="20"/>
          <w:szCs w:val="20"/>
        </w:rPr>
        <w:t xml:space="preserve">Up-sell, Cross-sell, and Down-sell by Service Line</w:t>
      </w:r>
    </w:p>
    <w:p>
      <w:pPr>
        <w:spacing w:after="30" w:before="20"/>
      </w:pPr>
      <w:r>
        <w:rPr>
          <w:rFonts w:ascii="Arial" w:cs="Arial" w:eastAsia="Arial" w:hAnsi="Arial"/>
          <w:sz w:val="20"/>
          <w:szCs w:val="20"/>
        </w:rPr>
        <w:t xml:space="preserve">Splits expansion and contraction movements across the existing base into up-sell (more of the same product), cross-sell (new products attached), and down-sell (reduced spend on existing products), each cut by service line and shown by both revenue and customer count. Reveals which products drive expansion, which products are typical "next purchases" (cross-sell pathways), and which products are most exposed to down-sell — including whether down-sell is structural or driven by external market factors (e.g., commodity-linked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PRC, IBV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CUST-10</w:t>
      </w:r>
      <w:r>
        <w:rPr>
          <w:rFonts w:ascii="Arial" w:cs="Arial" w:eastAsia="Arial" w:hAnsi="Arial"/>
          <w:sz w:val="20"/>
          <w:szCs w:val="20"/>
        </w:rPr>
        <w:t xml:space="preserve">  </w:t>
      </w:r>
      <w:r>
        <w:rPr>
          <w:rFonts w:ascii="Arial" w:cs="Arial" w:eastAsia="Arial" w:hAnsi="Arial"/>
          <w:b/>
          <w:bCs/>
          <w:sz w:val="20"/>
          <w:szCs w:val="20"/>
        </w:rPr>
        <w:t xml:space="preserve">Multi-Product Adoption by Customer Tier (Account Penetration)</w:t>
      </w:r>
    </w:p>
    <w:p>
      <w:pPr>
        <w:spacing w:after="30" w:before="20"/>
      </w:pPr>
      <w:r>
        <w:rPr>
          <w:rFonts w:ascii="Arial" w:cs="Arial" w:eastAsia="Arial" w:hAnsi="Arial"/>
          <w:sz w:val="20"/>
          <w:szCs w:val="20"/>
        </w:rPr>
        <w:t xml:space="preserve">Analyzes the distribution of customers within each customer tier (Tier 1 / Tier 2 / Tier 3) by the number of service lines purchased, alongside a heatmap of which specific products are most commonly bought together across 1, 2, 3, and 4+ service-line customers. Identifies where multi-product adoption is concentrated (typically top-tier accounts), highlights the specific product combinations that drive deeper account penetration, and surfaces cross-sell plays for under-penetrated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PRC, IBV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CUST-11</w:t>
      </w:r>
      <w:r>
        <w:rPr>
          <w:rFonts w:ascii="Arial" w:cs="Arial" w:eastAsia="Arial" w:hAnsi="Arial"/>
          <w:sz w:val="20"/>
          <w:szCs w:val="20"/>
        </w:rPr>
        <w:t xml:space="preserve">  </w:t>
      </w:r>
      <w:r>
        <w:rPr>
          <w:rFonts w:ascii="Arial" w:cs="Arial" w:eastAsia="Arial" w:hAnsi="Arial"/>
          <w:b/>
          <w:bCs/>
          <w:sz w:val="20"/>
          <w:szCs w:val="20"/>
        </w:rPr>
        <w:t xml:space="preserve">New Logo Bookings Trend (New Logo vs. Add-On Mix)</w:t>
      </w:r>
    </w:p>
    <w:p>
      <w:pPr>
        <w:spacing w:after="30" w:before="20"/>
      </w:pPr>
      <w:r>
        <w:rPr>
          <w:rFonts w:ascii="Arial" w:cs="Arial" w:eastAsia="Arial" w:hAnsi="Arial"/>
          <w:sz w:val="20"/>
          <w:szCs w:val="20"/>
        </w:rPr>
        <w:t xml:space="preserve">Tracks ARR bookings over time (e.g., 2021–2023) split between new logo and add-on (existing customer expansion), alongside the underlying new logo customer count. Diagnoses whether new logo acquisition is healthy or declining (e.g., bookings down ~9% and new logo count down ~15%) and whether growth is becoming over-dependent on add-on motion at the expense of net-new acquisition — a key signal for the long-term sustainability of a land-and-expand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MKT, 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CUST-12</w:t>
      </w:r>
      <w:r>
        <w:rPr>
          <w:rFonts w:ascii="Arial" w:cs="Arial" w:eastAsia="Arial" w:hAnsi="Arial"/>
          <w:sz w:val="20"/>
          <w:szCs w:val="20"/>
        </w:rPr>
        <w:t xml:space="preserve">  </w:t>
      </w:r>
      <w:r>
        <w:rPr>
          <w:rFonts w:ascii="Arial" w:cs="Arial" w:eastAsia="Arial" w:hAnsi="Arial"/>
          <w:b/>
          <w:bCs/>
          <w:sz w:val="20"/>
          <w:szCs w:val="20"/>
        </w:rPr>
        <w:t xml:space="preserve">Existing Top Account Growth Distribution (Account Management Effectiveness)</w:t>
      </w:r>
    </w:p>
    <w:p>
      <w:pPr>
        <w:spacing w:after="30" w:before="20"/>
      </w:pPr>
      <w:r>
        <w:rPr>
          <w:rFonts w:ascii="Arial" w:cs="Arial" w:eastAsia="Arial" w:hAnsi="Arial"/>
          <w:sz w:val="20"/>
          <w:szCs w:val="20"/>
        </w:rPr>
        <w:t xml:space="preserve">Plots ARR growth (e.g., 3-year CAGR) against average ARR per customer for the top decile of existing customers, separating accounts into growers vs. de-growers. Quantifies the share of top accounts that are de-growing (e.g., ~40% of top 10% experiencing de-growth), exposing weaknesses in account management focus, retention, and expansion within the most strategically important customers — and sizing the upside from rebasing top-account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IBV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LTV/CAC &amp; Retention metrics - GRR &amp; NRR</w:t>
      </w:r>
    </w:p>
    <w:p>
      <w:pPr>
        <w:spacing w:after="30" w:before="120"/>
      </w:pPr>
      <w:r>
        <w:rPr>
          <w:rFonts w:ascii="Arial" w:cs="Arial" w:eastAsia="Arial" w:hAnsi="Arial"/>
          <w:b/>
          <w:bCs/>
          <w:color w:val="1F4E79"/>
          <w:sz w:val="20"/>
          <w:szCs w:val="20"/>
        </w:rPr>
        <w:t xml:space="preserve">CUST-13</w:t>
      </w:r>
      <w:r>
        <w:rPr>
          <w:rFonts w:ascii="Arial" w:cs="Arial" w:eastAsia="Arial" w:hAnsi="Arial"/>
          <w:sz w:val="20"/>
          <w:szCs w:val="20"/>
        </w:rPr>
        <w:t xml:space="preserve">  </w:t>
      </w:r>
      <w:r>
        <w:rPr>
          <w:rFonts w:ascii="Arial" w:cs="Arial" w:eastAsia="Arial" w:hAnsi="Arial"/>
          <w:b/>
          <w:bCs/>
          <w:sz w:val="20"/>
          <w:szCs w:val="20"/>
        </w:rPr>
        <w:t xml:space="preserve">LTV/CAC &amp; Retention metrics - GRR &amp; NRR</w:t>
      </w:r>
    </w:p>
    <w:p>
      <w:pPr>
        <w:spacing w:after="30" w:before="20"/>
      </w:pPr>
      <w:r>
        <w:rPr>
          <w:rFonts w:ascii="Arial" w:cs="Arial" w:eastAsia="Arial" w:hAnsi="Arial"/>
          <w:sz w:val="20"/>
          <w:szCs w:val="20"/>
        </w:rPr>
        <w:t xml:space="preserve">This analysis evaluates the long-term economic efficiency of the commercial model by comparing Customer Lifetime Value (LTV) to Customer Acquisition Cost (CAC), providing a clear view of whether customer relationships generate sustainable returns relative to the cost of acquiring them; it calculates LTV using revenue (e.g., ARR), gross margin, and churn to estimate the total value generated over a customer’s lifecycle, and CAC using sales and marketing spend relative to new customer acquisition—ensuring proper time alignment for sales cycles; it benchmarks the LTV/CAC ratio (with &gt;3x indicating healthy unit economics and &lt;1x signaling structural issues) to diagnose whether challenges stem from high acquisition costs, poor retention, or low monetization; it complements this with retention analysis by measuring customer retention rate, Gross Revenue Retention (GRR), and Net Revenue Retention (NRR) to assess the ability to sustain and expand revenue from existing customers; it uses GRR to quantify revenue leakage from churn and downsell, and NRR to capture net expansion including upsell and cross-sell, highlighting whether growth is driven by strong account expansion or offset by losses; it segments these metrics by customer cohorts, segments, or geographies to identify pockets of weak retention or strong expansion; and it links insights back to commercial levers such as pricing, customer success, product adoption, and GTM strategy—ultimately identifying opportunities to improve unit economics by reducing churn, increasing expansion revenue, and optimizing acquisition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Transaction ID, Customer ID / Customer Name, Year / Date, Revenue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Transaction, Financial Statements containing details about revenue, GM and costs (SG&amp;A) and (S&amp;M)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IBV, MKT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Customer revenue, growth, retention or penetration exhibit</w:t>
            </w:r>
          </w:p>
        </w:tc>
      </w:tr>
    </w:tbl>
    <w:p>
      <w:pPr>
        <w:spacing w:after="60" w:before="60"/>
      </w:pPr>
      <w:r>
        <w:t xml:space="preserve"/>
      </w:r>
    </w:p>
    <w:p>
      <w:pPr>
        <w:spacing w:after="60" w:before="60"/>
      </w:pPr>
      <w:r>
        <w:t xml:space="preserve"/>
      </w:r>
    </w:p>
    <w:p>
      <w:r>
        <w:br w:type="page"/>
      </w:r>
    </w:p>
    <w:p>
      <w:pPr>
        <w:pStyle w:val="Heading2"/>
        <w:spacing w:after="140" w:before="280"/>
      </w:pPr>
      <w:r>
        <w:rPr>
          <w:rFonts w:ascii="Arial" w:cs="Arial" w:eastAsia="Arial" w:hAnsi="Arial"/>
          <w:b/>
          <w:bCs/>
          <w:color w:val="1F4E79"/>
          <w:sz w:val="28"/>
          <w:szCs w:val="28"/>
        </w:rPr>
        <w:t xml:space="preserve">10a. Static pipeline analysis</w:t>
      </w:r>
    </w:p>
    <w:p>
      <w:pPr>
        <w:spacing w:after="80" w:before="80"/>
      </w:pPr>
      <w:r>
        <w:rPr>
          <w:rFonts w:ascii="Arial" w:cs="Arial" w:eastAsia="Arial" w:hAnsi="Arial"/>
          <w:sz w:val="20"/>
          <w:szCs w:val="20"/>
        </w:rPr>
        <w:t xml:space="preserve">Module ID prefix: </w:t>
      </w:r>
      <w:r>
        <w:rPr>
          <w:rFonts w:ascii="Arial" w:cs="Arial" w:eastAsia="Arial" w:hAnsi="Arial"/>
          <w:b/>
          <w:bCs/>
          <w:sz w:val="20"/>
          <w:szCs w:val="20"/>
        </w:rPr>
        <w:t xml:space="preserve">PIPE</w:t>
      </w:r>
      <w:r>
        <w:rPr>
          <w:rFonts w:ascii="Arial" w:cs="Arial" w:eastAsia="Arial" w:hAnsi="Arial"/>
          <w:sz w:val="20"/>
          <w:szCs w:val="20"/>
        </w:rPr>
        <w:t xml:space="preserve">. Contains 4 analyses.</w:t>
      </w:r>
    </w:p>
    <w:p>
      <w:pPr>
        <w:pStyle w:val="Heading3"/>
        <w:spacing w:after="100" w:before="220"/>
      </w:pPr>
      <w:r>
        <w:rPr>
          <w:rFonts w:ascii="Arial" w:cs="Arial" w:eastAsia="Arial" w:hAnsi="Arial"/>
          <w:b/>
          <w:bCs/>
          <w:color w:val="2E75B6"/>
          <w:sz w:val="24"/>
          <w:szCs w:val="24"/>
        </w:rPr>
        <w:t xml:space="preserve">Pipeline Health</w:t>
      </w:r>
    </w:p>
    <w:p>
      <w:pPr>
        <w:spacing w:after="30" w:before="120"/>
      </w:pPr>
      <w:r>
        <w:rPr>
          <w:rFonts w:ascii="Arial" w:cs="Arial" w:eastAsia="Arial" w:hAnsi="Arial"/>
          <w:b/>
          <w:bCs/>
          <w:color w:val="1F4E79"/>
          <w:sz w:val="20"/>
          <w:szCs w:val="20"/>
        </w:rPr>
        <w:t xml:space="preserve">PIPE-01</w:t>
      </w:r>
      <w:r>
        <w:rPr>
          <w:rFonts w:ascii="Arial" w:cs="Arial" w:eastAsia="Arial" w:hAnsi="Arial"/>
          <w:sz w:val="20"/>
          <w:szCs w:val="20"/>
        </w:rPr>
        <w:t xml:space="preserve">  </w:t>
      </w:r>
      <w:r>
        <w:rPr>
          <w:rFonts w:ascii="Arial" w:cs="Arial" w:eastAsia="Arial" w:hAnsi="Arial"/>
          <w:b/>
          <w:bCs/>
          <w:sz w:val="20"/>
          <w:szCs w:val="20"/>
        </w:rPr>
        <w:t xml:space="preserve">Pipeline Health</w:t>
      </w:r>
    </w:p>
    <w:p>
      <w:pPr>
        <w:spacing w:after="30" w:before="20"/>
      </w:pPr>
      <w:r>
        <w:rPr>
          <w:rFonts w:ascii="Arial" w:cs="Arial" w:eastAsia="Arial" w:hAnsi="Arial"/>
          <w:sz w:val="20"/>
          <w:szCs w:val="20"/>
        </w:rPr>
        <w:t xml:space="preserve">Pipeline health analysis assesses the robustness and effectiveness of pipeline management practices; it analyzes pipeline by opportunity value and age (e.g., distribution across deal sizes and aging buckets) to identify risks such as over-concentration in low-value deals or excessive aging indicating stalled opportunities; it evaluates average time spent in each stage to diagnose bottlenecks, inefficiencies, or process breakdowns in the sales funnel; it measures overall sales cycle length and compares it across segments, deal sizes, and regions to assess consistency and identify opportunities to accelerate deal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Opportunity ID/ Name, Stage of Opportunity, Opportunity create date and closed date, ACV, CARR, ARR or TCV, Segmentation columns (Product, Industry, Type)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Pipeline File with Unique Opportunity ID or No Stage movement (From Stage and To stage)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Pipeline health / coverage / win-rate / funnel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Pipeline Coverage</w:t>
      </w:r>
    </w:p>
    <w:p>
      <w:pPr>
        <w:spacing w:after="30" w:before="120"/>
      </w:pPr>
      <w:r>
        <w:rPr>
          <w:rFonts w:ascii="Arial" w:cs="Arial" w:eastAsia="Arial" w:hAnsi="Arial"/>
          <w:b/>
          <w:bCs/>
          <w:color w:val="1F4E79"/>
          <w:sz w:val="20"/>
          <w:szCs w:val="20"/>
        </w:rPr>
        <w:t xml:space="preserve">PIPE-02</w:t>
      </w:r>
      <w:r>
        <w:rPr>
          <w:rFonts w:ascii="Arial" w:cs="Arial" w:eastAsia="Arial" w:hAnsi="Arial"/>
          <w:sz w:val="20"/>
          <w:szCs w:val="20"/>
        </w:rPr>
        <w:t xml:space="preserve">  </w:t>
      </w:r>
      <w:r>
        <w:rPr>
          <w:rFonts w:ascii="Arial" w:cs="Arial" w:eastAsia="Arial" w:hAnsi="Arial"/>
          <w:b/>
          <w:bCs/>
          <w:sz w:val="20"/>
          <w:szCs w:val="20"/>
        </w:rPr>
        <w:t xml:space="preserve">Pipeline Coverage</w:t>
      </w:r>
    </w:p>
    <w:p>
      <w:pPr>
        <w:spacing w:after="30" w:before="20"/>
      </w:pPr>
      <w:r>
        <w:rPr>
          <w:rFonts w:ascii="Arial" w:cs="Arial" w:eastAsia="Arial" w:hAnsi="Arial"/>
          <w:sz w:val="20"/>
          <w:szCs w:val="20"/>
        </w:rPr>
        <w:t xml:space="preserve">Pipeline coverage analysis evaluates whether the sales engine is generating sufficient pipeline to meet future revenue targets by assessing the adequacy of opportunity volume relative to bookings expectations; it measures key metrics such as pipeline-to-bookings (or pipeline coverage) ratio—benchmarking against industry standards (e.g., ~1.3–1.5x) to determine if current pipeline is sufficient or if there is a shortfall; it quantifies required pipeline based on target revenue and compares it to current open pipeline to estimate gaps and inform lead generation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Opportunity ID/ Name, Stage of Opportunity, Opportunity create date and closed date, ACV, CARR, ARR or TCV, Segmentation columns (Product, Industry, Type)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Pipeline File with Unique Opportunity ID or No Stage movement (From Stage and To stage)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MKT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Pipeline health / coverage / win-rate / funnel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Win Rate</w:t>
      </w:r>
    </w:p>
    <w:p>
      <w:pPr>
        <w:spacing w:after="30" w:before="120"/>
      </w:pPr>
      <w:r>
        <w:rPr>
          <w:rFonts w:ascii="Arial" w:cs="Arial" w:eastAsia="Arial" w:hAnsi="Arial"/>
          <w:b/>
          <w:bCs/>
          <w:color w:val="1F4E79"/>
          <w:sz w:val="20"/>
          <w:szCs w:val="20"/>
        </w:rPr>
        <w:t xml:space="preserve">PIPE-03</w:t>
      </w:r>
      <w:r>
        <w:rPr>
          <w:rFonts w:ascii="Arial" w:cs="Arial" w:eastAsia="Arial" w:hAnsi="Arial"/>
          <w:sz w:val="20"/>
          <w:szCs w:val="20"/>
        </w:rPr>
        <w:t xml:space="preserve">  </w:t>
      </w:r>
      <w:r>
        <w:rPr>
          <w:rFonts w:ascii="Arial" w:cs="Arial" w:eastAsia="Arial" w:hAnsi="Arial"/>
          <w:b/>
          <w:bCs/>
          <w:sz w:val="20"/>
          <w:szCs w:val="20"/>
        </w:rPr>
        <w:t xml:space="preserve">Win Rate</w:t>
      </w:r>
    </w:p>
    <w:p>
      <w:pPr>
        <w:spacing w:after="30" w:before="20"/>
      </w:pPr>
      <w:r>
        <w:rPr>
          <w:rFonts w:ascii="Arial" w:cs="Arial" w:eastAsia="Arial" w:hAnsi="Arial"/>
          <w:sz w:val="20"/>
          <w:szCs w:val="20"/>
        </w:rPr>
        <w:t xml:space="preserve">Win rate analysis evaluates sales effectiveness by measuring the proportion of opportunities successfully converted into closed-won deals, providing a clear view of how effectively the pipeline is being monetized; it assesses overall win rate (won opportunities ÷ total closed opportunities) and benchmarks it across regions, industries, and segments to identify areas of strength and underperformance; it evaluates trends over time to identify improvements or deterioration in sales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Opportunity ID/ Name, Stage of Opportunity, Opportunity create date and closed date, ACV, CARR, ARR or TCV, Segmentation columns (Product, Industry, Type)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Pipeline File with Unique Opportunity ID or No Stage movement (From Stage and To stage)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MKT, PRC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Pipeline health / coverage / win-rate / funnel exhibit</w:t>
            </w:r>
          </w:p>
        </w:tc>
      </w:tr>
    </w:tbl>
    <w:p>
      <w:pPr>
        <w:spacing w:after="60" w:before="60"/>
      </w:pPr>
      <w:r>
        <w:t xml:space="preserve"/>
      </w:r>
    </w:p>
    <w:p>
      <w:pPr>
        <w:spacing w:after="60" w:before="60"/>
      </w:pPr>
      <w:r>
        <w:t xml:space="preserve"/>
      </w:r>
    </w:p>
    <w:p>
      <w:pPr>
        <w:pStyle w:val="Heading3"/>
        <w:spacing w:after="100" w:before="220"/>
      </w:pPr>
      <w:r>
        <w:rPr>
          <w:rFonts w:ascii="Arial" w:cs="Arial" w:eastAsia="Arial" w:hAnsi="Arial"/>
          <w:b/>
          <w:bCs/>
          <w:color w:val="2E75B6"/>
          <w:sz w:val="24"/>
          <w:szCs w:val="24"/>
        </w:rPr>
        <w:t xml:space="preserve">Marketing Funnel</w:t>
      </w:r>
    </w:p>
    <w:p>
      <w:pPr>
        <w:spacing w:after="30" w:before="120"/>
      </w:pPr>
      <w:r>
        <w:rPr>
          <w:rFonts w:ascii="Arial" w:cs="Arial" w:eastAsia="Arial" w:hAnsi="Arial"/>
          <w:b/>
          <w:bCs/>
          <w:color w:val="1F4E79"/>
          <w:sz w:val="20"/>
          <w:szCs w:val="20"/>
        </w:rPr>
        <w:t xml:space="preserve">PIPE-04</w:t>
      </w:r>
      <w:r>
        <w:rPr>
          <w:rFonts w:ascii="Arial" w:cs="Arial" w:eastAsia="Arial" w:hAnsi="Arial"/>
          <w:sz w:val="20"/>
          <w:szCs w:val="20"/>
        </w:rPr>
        <w:t xml:space="preserve">  </w:t>
      </w:r>
      <w:r>
        <w:rPr>
          <w:rFonts w:ascii="Arial" w:cs="Arial" w:eastAsia="Arial" w:hAnsi="Arial"/>
          <w:b/>
          <w:bCs/>
          <w:sz w:val="20"/>
          <w:szCs w:val="20"/>
        </w:rPr>
        <w:t xml:space="preserve">Marketing Funnel</w:t>
      </w:r>
    </w:p>
    <w:p>
      <w:pPr>
        <w:spacing w:after="30" w:before="20"/>
      </w:pPr>
      <w:r>
        <w:rPr>
          <w:rFonts w:ascii="Arial" w:cs="Arial" w:eastAsia="Arial" w:hAnsi="Arial"/>
          <w:sz w:val="20"/>
          <w:szCs w:val="20"/>
        </w:rPr>
        <w:t xml:space="preserve">Marketing funnel analysis evaluates the effectiveness of demand generation and lead conversion across the end-to-end funnel—from raw leads to closed-won deals—to assess whether the organization is generating and progressing high-quality leads efficiently; it analyzes conversion rates at each stage (e.g., lead → MQL → SQL → pipeline → closed won) and benchmarks them against industry standards to identify drop-off points and funnel inefficiencies; it measures overall funnel conversion and compares it with win rates to diagnose whether issues stem from top-of-funnel quality or downstream sales execution; it evaluates average sales cycle length in conjunction with funnel progression to assess speed and efficiency of lead maturation; it analyzes lead source mix (e.g., marketing-generated vs. sales-generated vs. other channels) and benchmarks contribution and average deal size by source to assess effectiveness and ROI of marketing efforts; and it links funnel performance to broader GTM levers such as targeting, campaign effectiveness, lead qualification criteria, and sales-marketing alignment—ultimately informing actions to improve lead quality, increase conversion rates, and optimize demand generation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Opportunity ID/ Name, Stage of Opportunity, Opportunity create date and closed date, ACV, CARR, ARR or TCV, Segmentation columns (Product, Industry, Type)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Pipeline File with Unique Opportunity ID or No Stage movement (From Stage and To stage)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 MKT,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Pipeline health / coverage / win-rate / funnel exhibit</w:t>
            </w:r>
          </w:p>
        </w:tc>
      </w:tr>
    </w:tbl>
    <w:p>
      <w:pPr>
        <w:spacing w:after="60" w:before="60"/>
      </w:pPr>
      <w:r>
        <w:t xml:space="preserve"/>
      </w:r>
    </w:p>
    <w:p>
      <w:pPr>
        <w:spacing w:after="60" w:before="60"/>
      </w:pPr>
      <w:r>
        <w:t xml:space="preserve"/>
      </w:r>
    </w:p>
    <w:p>
      <w:r>
        <w:br w:type="page"/>
      </w:r>
    </w:p>
    <w:p>
      <w:pPr>
        <w:pStyle w:val="Heading2"/>
        <w:spacing w:after="140" w:before="280"/>
      </w:pPr>
      <w:r>
        <w:rPr>
          <w:rFonts w:ascii="Arial" w:cs="Arial" w:eastAsia="Arial" w:hAnsi="Arial"/>
          <w:b/>
          <w:bCs/>
          <w:color w:val="1F4E79"/>
          <w:sz w:val="28"/>
          <w:szCs w:val="28"/>
        </w:rPr>
        <w:t xml:space="preserve">10b. Pipeline movement analysis</w:t>
      </w:r>
    </w:p>
    <w:p>
      <w:pPr>
        <w:spacing w:after="80" w:before="80"/>
      </w:pPr>
      <w:r>
        <w:rPr>
          <w:rFonts w:ascii="Arial" w:cs="Arial" w:eastAsia="Arial" w:hAnsi="Arial"/>
          <w:sz w:val="20"/>
          <w:szCs w:val="20"/>
        </w:rPr>
        <w:t xml:space="preserve">Module ID prefix: </w:t>
      </w:r>
      <w:r>
        <w:rPr>
          <w:rFonts w:ascii="Arial" w:cs="Arial" w:eastAsia="Arial" w:hAnsi="Arial"/>
          <w:b/>
          <w:bCs/>
          <w:sz w:val="20"/>
          <w:szCs w:val="20"/>
        </w:rPr>
        <w:t xml:space="preserve">MOVE</w:t>
      </w:r>
      <w:r>
        <w:rPr>
          <w:rFonts w:ascii="Arial" w:cs="Arial" w:eastAsia="Arial" w:hAnsi="Arial"/>
          <w:sz w:val="20"/>
          <w:szCs w:val="20"/>
        </w:rPr>
        <w:t xml:space="preserve">. Contains 3 analyses.</w:t>
      </w:r>
    </w:p>
    <w:p>
      <w:pPr>
        <w:pStyle w:val="Heading3"/>
        <w:spacing w:after="100" w:before="220"/>
      </w:pPr>
      <w:r>
        <w:rPr>
          <w:rFonts w:ascii="Arial" w:cs="Arial" w:eastAsia="Arial" w:hAnsi="Arial"/>
          <w:b/>
          <w:bCs/>
          <w:color w:val="2E75B6"/>
          <w:sz w:val="24"/>
          <w:szCs w:val="24"/>
        </w:rPr>
        <w:t xml:space="preserve">Stagnancy</w:t>
      </w:r>
    </w:p>
    <w:p>
      <w:pPr>
        <w:spacing w:after="30" w:before="120"/>
      </w:pPr>
      <w:r>
        <w:rPr>
          <w:rFonts w:ascii="Arial" w:cs="Arial" w:eastAsia="Arial" w:hAnsi="Arial"/>
          <w:b/>
          <w:bCs/>
          <w:color w:val="1F4E79"/>
          <w:sz w:val="20"/>
          <w:szCs w:val="20"/>
        </w:rPr>
        <w:t xml:space="preserve">MOVE-01</w:t>
      </w:r>
      <w:r>
        <w:rPr>
          <w:rFonts w:ascii="Arial" w:cs="Arial" w:eastAsia="Arial" w:hAnsi="Arial"/>
          <w:sz w:val="20"/>
          <w:szCs w:val="20"/>
        </w:rPr>
        <w:t xml:space="preserve">  </w:t>
      </w:r>
      <w:r>
        <w:rPr>
          <w:rFonts w:ascii="Arial" w:cs="Arial" w:eastAsia="Arial" w:hAnsi="Arial"/>
          <w:b/>
          <w:bCs/>
          <w:sz w:val="20"/>
          <w:szCs w:val="20"/>
        </w:rPr>
        <w:t xml:space="preserve">Historical Age Distribution by Pipeline Stage (By volume &amp; value)</w:t>
      </w:r>
    </w:p>
    <w:p>
      <w:pPr>
        <w:spacing w:after="30" w:before="20"/>
      </w:pPr>
      <w:r>
        <w:rPr>
          <w:rFonts w:ascii="Arial" w:cs="Arial" w:eastAsia="Arial" w:hAnsi="Arial"/>
          <w:sz w:val="20"/>
          <w:szCs w:val="20"/>
        </w:rPr>
        <w:t xml:space="preserve">Analyzes the distribution of opportunities across age buckets (e.g., 0–2 weeks through &gt;20 weeks) within each pipeline stage (Pipeline, Upside, Strong Upside, Commit, Booked) to characterize how long deals historically spend in each stage. Establishes the average age in stage and uses a multiplier (e.g., &gt;1.25x average age) to define a stage-specific stagnant threshold (e.g., &gt;12 weeks for Pipeline, &gt;10 for Upside, etc.), creating an objective, data-driven definition of what constitutes a "stuck" deal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Opportunity ID/ Name, Stage of Opportunity, Opportunity create date and closed date, ACV, CARR, ARR or TCV, Segmentation columns (Product, Industry, Type), Last Modified date/ Change date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Pipeline data - with Multiple rows with same Opportunity ID and have Stage movement (From Stage and To stage) data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Stage aging, stagnancy or closed-won movement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MOVE-02</w:t>
      </w:r>
      <w:r>
        <w:rPr>
          <w:rFonts w:ascii="Arial" w:cs="Arial" w:eastAsia="Arial" w:hAnsi="Arial"/>
          <w:sz w:val="20"/>
          <w:szCs w:val="20"/>
        </w:rPr>
        <w:t xml:space="preserve">  </w:t>
      </w:r>
      <w:r>
        <w:rPr>
          <w:rFonts w:ascii="Arial" w:cs="Arial" w:eastAsia="Arial" w:hAnsi="Arial"/>
          <w:b/>
          <w:bCs/>
          <w:sz w:val="20"/>
          <w:szCs w:val="20"/>
        </w:rPr>
        <w:t xml:space="preserve">Median Stage Age Distribution</w:t>
      </w:r>
    </w:p>
    <w:p>
      <w:pPr>
        <w:spacing w:after="30" w:before="20"/>
      </w:pPr>
      <w:r>
        <w:rPr>
          <w:rFonts w:ascii="Arial" w:cs="Arial" w:eastAsia="Arial" w:hAnsi="Arial"/>
          <w:sz w:val="20"/>
          <w:szCs w:val="20"/>
        </w:rPr>
        <w:t xml:space="preserve">Uses box-and-whisker plots of opportunity age (in days) at each pipeline stage (Target, Design Solution, Propose) for a specific region (e.g., EMEA), showing median, IQR, and outliers. Compares median age across stages and contrasts the median age of "End-Won" opportunities against the median age of all opportunities to diagnose whether elevated stage age is driven by structurally slow progression (broad delays across all opportunities regardless of outcome) or by clogged pipelines accumulating low-quality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Stage aging, stagnancy or closed-won movement exhibit</w:t>
            </w:r>
          </w:p>
        </w:tc>
      </w:tr>
    </w:tbl>
    <w:p>
      <w:pPr>
        <w:spacing w:after="60" w:before="60"/>
      </w:pPr>
      <w:r>
        <w:t xml:space="preserve"/>
      </w:r>
    </w:p>
    <w:p>
      <w:pPr>
        <w:spacing w:after="30" w:before="120"/>
      </w:pPr>
      <w:r>
        <w:rPr>
          <w:rFonts w:ascii="Arial" w:cs="Arial" w:eastAsia="Arial" w:hAnsi="Arial"/>
          <w:b/>
          <w:bCs/>
          <w:color w:val="1F4E79"/>
          <w:sz w:val="20"/>
          <w:szCs w:val="20"/>
        </w:rPr>
        <w:t xml:space="preserve">MOVE-03</w:t>
      </w:r>
      <w:r>
        <w:rPr>
          <w:rFonts w:ascii="Arial" w:cs="Arial" w:eastAsia="Arial" w:hAnsi="Arial"/>
          <w:sz w:val="20"/>
          <w:szCs w:val="20"/>
        </w:rPr>
        <w:t xml:space="preserve">  </w:t>
      </w:r>
      <w:r>
        <w:rPr>
          <w:rFonts w:ascii="Arial" w:cs="Arial" w:eastAsia="Arial" w:hAnsi="Arial"/>
          <w:b/>
          <w:bCs/>
          <w:sz w:val="20"/>
          <w:szCs w:val="20"/>
        </w:rPr>
        <w:t xml:space="preserve">New Pipeline Creation vs. Closed-Won Trend (with Sales Cycle and Deal Size)</w:t>
      </w:r>
    </w:p>
    <w:p>
      <w:pPr>
        <w:spacing w:after="30" w:before="20"/>
      </w:pPr>
      <w:r>
        <w:rPr>
          <w:rFonts w:ascii="Arial" w:cs="Arial" w:eastAsia="Arial" w:hAnsi="Arial"/>
          <w:sz w:val="20"/>
          <w:szCs w:val="20"/>
        </w:rPr>
        <w:t xml:space="preserve">Tracks monthly new pipeline value and # of new opportunities created against # of closed-won opportunities over an extended horizon (e.g., L3Y), alongside average time-to-expected-close, average deal size, and average sales cycle. Reveals whether surges in new pipeline creation translate into corresponding growth in closed-won deals, exposes lengthening sales cycles or deal-size compression that could undermine conversion, and isolates regional/temporal disconnects between top-of-funnel activity and bottom-of-funnel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NRP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Stage aging, stagnancy or closed-won movement exhibit</w:t>
            </w:r>
          </w:p>
        </w:tc>
      </w:tr>
    </w:tbl>
    <w:p>
      <w:pPr>
        <w:spacing w:after="60" w:before="60"/>
      </w:pPr>
      <w:r>
        <w:t xml:space="preserve"/>
      </w:r>
    </w:p>
    <w:p>
      <w:pPr>
        <w:spacing w:after="60" w:before="60"/>
      </w:pPr>
      <w:r>
        <w:t xml:space="preserve"/>
      </w:r>
    </w:p>
    <w:p>
      <w:r>
        <w:br w:type="page"/>
      </w:r>
    </w:p>
    <w:p>
      <w:pPr>
        <w:pStyle w:val="Heading2"/>
        <w:spacing w:after="140" w:before="280"/>
      </w:pPr>
      <w:r>
        <w:rPr>
          <w:rFonts w:ascii="Arial" w:cs="Arial" w:eastAsia="Arial" w:hAnsi="Arial"/>
          <w:b/>
          <w:bCs/>
          <w:color w:val="1F4E79"/>
          <w:sz w:val="28"/>
          <w:szCs w:val="28"/>
        </w:rPr>
        <w:t xml:space="preserve">11a. Pricing</w:t>
      </w:r>
    </w:p>
    <w:p>
      <w:pPr>
        <w:spacing w:after="80" w:before="80"/>
      </w:pPr>
      <w:r>
        <w:rPr>
          <w:rFonts w:ascii="Arial" w:cs="Arial" w:eastAsia="Arial" w:hAnsi="Arial"/>
          <w:sz w:val="20"/>
          <w:szCs w:val="20"/>
        </w:rPr>
        <w:t xml:space="preserve">Module ID prefix: </w:t>
      </w:r>
      <w:r>
        <w:rPr>
          <w:rFonts w:ascii="Arial" w:cs="Arial" w:eastAsia="Arial" w:hAnsi="Arial"/>
          <w:b/>
          <w:bCs/>
          <w:sz w:val="20"/>
          <w:szCs w:val="20"/>
        </w:rPr>
        <w:t xml:space="preserve">PRICE</w:t>
      </w:r>
      <w:r>
        <w:rPr>
          <w:rFonts w:ascii="Arial" w:cs="Arial" w:eastAsia="Arial" w:hAnsi="Arial"/>
          <w:sz w:val="20"/>
          <w:szCs w:val="20"/>
        </w:rPr>
        <w:t xml:space="preserve">. Contains 1 analyses.</w:t>
      </w:r>
    </w:p>
    <w:p>
      <w:pPr>
        <w:pStyle w:val="Heading3"/>
        <w:spacing w:after="100" w:before="220"/>
      </w:pPr>
      <w:r>
        <w:rPr>
          <w:rFonts w:ascii="Arial" w:cs="Arial" w:eastAsia="Arial" w:hAnsi="Arial"/>
          <w:b/>
          <w:bCs/>
          <w:color w:val="2E75B6"/>
          <w:sz w:val="24"/>
          <w:szCs w:val="24"/>
        </w:rPr>
        <w:t xml:space="preserve">Pricing UVA</w:t>
      </w:r>
    </w:p>
    <w:p>
      <w:pPr>
        <w:spacing w:after="30" w:before="120"/>
      </w:pPr>
      <w:r>
        <w:rPr>
          <w:rFonts w:ascii="Arial" w:cs="Arial" w:eastAsia="Arial" w:hAnsi="Arial"/>
          <w:b/>
          <w:bCs/>
          <w:color w:val="1F4E79"/>
          <w:sz w:val="20"/>
          <w:szCs w:val="20"/>
        </w:rPr>
        <w:t xml:space="preserve">PRICE-01</w:t>
      </w:r>
      <w:r>
        <w:rPr>
          <w:rFonts w:ascii="Arial" w:cs="Arial" w:eastAsia="Arial" w:hAnsi="Arial"/>
          <w:sz w:val="20"/>
          <w:szCs w:val="20"/>
        </w:rPr>
        <w:t xml:space="preserve">  </w:t>
      </w:r>
      <w:r>
        <w:rPr>
          <w:rFonts w:ascii="Arial" w:cs="Arial" w:eastAsia="Arial" w:hAnsi="Arial"/>
          <w:b/>
          <w:bCs/>
          <w:sz w:val="20"/>
          <w:szCs w:val="20"/>
        </w:rPr>
        <w:t xml:space="preserve">Pricing UVA</w:t>
      </w:r>
    </w:p>
    <w:p>
      <w:pPr>
        <w:spacing w:after="30" w:before="20"/>
      </w:pPr>
      <w:r>
        <w:rPr>
          <w:rFonts w:ascii="Arial" w:cs="Arial" w:eastAsia="Arial" w:hAnsi="Arial"/>
          <w:sz w:val="20"/>
          <w:szCs w:val="20"/>
        </w:rPr>
        <w:t xml:space="preserve">Pricing UVA (Unjustified Variability Analysis): This analysis evaluates pricing effectiveness by identifying and quantifying discount variability across comparable (“like-for-like”) deals to distinguish between justified discounting (required to win deals) and unjustified discounting (excess concessions beyond what is necessary); it clusters deals based on key attributes such as customer segment, product, deal size, geography, and channel to create statistically comparable cohorts, ensuring apples-to-apples benchmarking of pricing behavior; it analyzes the distribution of discounts within each cohort and segments them into quartiles to identify outliers and quantify the extent of over-discounting; it estimates the addressable margin or EBITDA upside by simulating movement of higher-discounted deals toward more optimal discount levels (e.g., next-best quartile), typically applying realistic caps across short-, medium-, and long-term horizons; it highlights structural drivers of discount variability (e.g., sales practices, deal size, product mix) while excluding non-actionable or undesirable factors; and it provides a fact-based foundation for pricing governance improvements such as discount guardrails, approval thresholds, and negotiation guidelines—ultimately enabling better discount discipline and margin expansion without prescribing price changes at an individual customer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Mandatory data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Transaction / quote / line ID, Customer ID + attributes(Account, segment, channel, geography, account size), SKU / product family / vendor, Theoretical max sales / list / column price, Net sales price + discounts / negotiations / rebates, Order size / volume / payment terms / deal metadata, Fiscal date / period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File required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Transaction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PRC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Root-cause, Sizing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Price / discount dispersion and unexplained variance exhibit</w:t>
            </w:r>
          </w:p>
        </w:tc>
      </w:tr>
    </w:tbl>
    <w:p>
      <w:pPr>
        <w:spacing w:after="60" w:before="60"/>
      </w:pPr>
      <w:r>
        <w:t xml:space="preserve"/>
      </w:r>
    </w:p>
    <w:p>
      <w:pPr>
        <w:spacing w:after="60" w:before="60"/>
      </w:pPr>
      <w:r>
        <w:t xml:space="preserve"/>
      </w:r>
    </w:p>
    <w:p>
      <w:r>
        <w:br w:type="page"/>
      </w:r>
    </w:p>
    <w:p>
      <w:pPr>
        <w:pStyle w:val="Heading2"/>
        <w:spacing w:after="140" w:before="280"/>
      </w:pPr>
      <w:r>
        <w:rPr>
          <w:rFonts w:ascii="Arial" w:cs="Arial" w:eastAsia="Arial" w:hAnsi="Arial"/>
          <w:b/>
          <w:bCs/>
          <w:color w:val="1F4E79"/>
          <w:sz w:val="28"/>
          <w:szCs w:val="28"/>
        </w:rPr>
        <w:t xml:space="preserve">11b. Upside Calculation</w:t>
      </w:r>
    </w:p>
    <w:p>
      <w:pPr>
        <w:spacing w:after="80" w:before="80"/>
      </w:pPr>
      <w:r>
        <w:rPr>
          <w:rFonts w:ascii="Arial" w:cs="Arial" w:eastAsia="Arial" w:hAnsi="Arial"/>
          <w:sz w:val="20"/>
          <w:szCs w:val="20"/>
        </w:rPr>
        <w:t xml:space="preserve">Module ID prefix: </w:t>
      </w:r>
      <w:r>
        <w:rPr>
          <w:rFonts w:ascii="Arial" w:cs="Arial" w:eastAsia="Arial" w:hAnsi="Arial"/>
          <w:b/>
          <w:bCs/>
          <w:sz w:val="20"/>
          <w:szCs w:val="20"/>
        </w:rPr>
        <w:t xml:space="preserve">UPSIDE</w:t>
      </w:r>
      <w:r>
        <w:rPr>
          <w:rFonts w:ascii="Arial" w:cs="Arial" w:eastAsia="Arial" w:hAnsi="Arial"/>
          <w:sz w:val="20"/>
          <w:szCs w:val="20"/>
        </w:rPr>
        <w:t xml:space="preserve">. Contains 1 analyses.</w:t>
      </w:r>
    </w:p>
    <w:p>
      <w:pPr>
        <w:pStyle w:val="Heading3"/>
        <w:spacing w:after="100" w:before="220"/>
      </w:pPr>
      <w:r>
        <w:rPr>
          <w:rFonts w:ascii="Arial" w:cs="Arial" w:eastAsia="Arial" w:hAnsi="Arial"/>
          <w:b/>
          <w:bCs/>
          <w:color w:val="2E75B6"/>
          <w:sz w:val="24"/>
          <w:szCs w:val="24"/>
        </w:rPr>
        <w:t xml:space="preserve">EBITDA Modelling</w:t>
      </w:r>
    </w:p>
    <w:p>
      <w:pPr>
        <w:spacing w:after="30" w:before="120"/>
      </w:pPr>
      <w:r>
        <w:rPr>
          <w:rFonts w:ascii="Arial" w:cs="Arial" w:eastAsia="Arial" w:hAnsi="Arial"/>
          <w:b/>
          <w:bCs/>
          <w:color w:val="1F4E79"/>
          <w:sz w:val="20"/>
          <w:szCs w:val="20"/>
        </w:rPr>
        <w:t xml:space="preserve">UPSIDE-01</w:t>
      </w:r>
      <w:r>
        <w:rPr>
          <w:rFonts w:ascii="Arial" w:cs="Arial" w:eastAsia="Arial" w:hAnsi="Arial"/>
          <w:sz w:val="20"/>
          <w:szCs w:val="20"/>
        </w:rPr>
        <w:t xml:space="preserve">  </w:t>
      </w:r>
      <w:r>
        <w:rPr>
          <w:rFonts w:ascii="Arial" w:cs="Arial" w:eastAsia="Arial" w:hAnsi="Arial"/>
          <w:b/>
          <w:bCs/>
          <w:sz w:val="20"/>
          <w:szCs w:val="20"/>
        </w:rPr>
        <w:t xml:space="preserve">EBITDA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Attribute</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Branches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MKT, PRC, NRP, IBV,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Diagnostic role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Sizing, Business case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Priority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Standard exhibit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6"/>
                <w:szCs w:val="16"/>
              </w:rPr>
              <w:t xml:space="preserve">EBITDA impact bridge / size-of-prize model</w:t>
            </w:r>
          </w:p>
        </w:tc>
      </w:tr>
    </w:tbl>
    <w:p>
      <w:pPr>
        <w:spacing w:after="60" w:before="60"/>
      </w:pPr>
      <w:r>
        <w:t xml:space="preserve"/>
      </w:r>
    </w:p>
    <w:p>
      <w:pPr>
        <w:spacing w:after="60" w:before="60"/>
      </w:pPr>
      <w:r>
        <w:t xml:space="preserve"/>
      </w:r>
    </w:p>
    <w:p>
      <w:r>
        <w:br w:type="page"/>
      </w:r>
    </w:p>
    <w:p>
      <w:pPr>
        <w:pStyle w:val="Heading1"/>
        <w:spacing w:after="200" w:before="360"/>
      </w:pPr>
      <w:r>
        <w:rPr>
          <w:rFonts w:ascii="Arial" w:cs="Arial" w:eastAsia="Arial" w:hAnsi="Arial"/>
          <w:b/>
          <w:bCs/>
          <w:color w:val="CC0000"/>
          <w:sz w:val="36"/>
          <w:szCs w:val="36"/>
        </w:rPr>
        <w:t xml:space="preserve">Part IV — Reference Layers</w:t>
      </w:r>
    </w:p>
    <w:p>
      <w:pPr>
        <w:pStyle w:val="Heading2"/>
        <w:spacing w:after="140" w:before="280"/>
      </w:pPr>
      <w:r>
        <w:rPr>
          <w:rFonts w:ascii="Arial" w:cs="Arial" w:eastAsia="Arial" w:hAnsi="Arial"/>
          <w:b/>
          <w:bCs/>
          <w:color w:val="1F4E79"/>
          <w:sz w:val="28"/>
          <w:szCs w:val="28"/>
        </w:rPr>
        <w:t xml:space="preserve">12. KPI cheat sheet &amp; metric definitions</w:t>
      </w:r>
    </w:p>
    <w:p>
      <w:pPr>
        <w:spacing w:after="80" w:before="160"/>
        <w:jc w:val="center"/>
      </w:pPr>
      <w:r>
        <w:drawing>
          <wp:inline distT="0" distB="0" distL="0" distR="0">
            <wp:extent cx="6286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42900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KPI cheat sheet — formulas, bands, and how to interpret each.</w:t>
      </w:r>
    </w:p>
    <w:p>
      <w:pPr>
        <w:pStyle w:val="Heading3"/>
        <w:spacing w:after="100" w:before="220"/>
      </w:pPr>
      <w:r>
        <w:rPr>
          <w:rFonts w:ascii="Arial" w:cs="Arial" w:eastAsia="Arial" w:hAnsi="Arial"/>
          <w:b/>
          <w:bCs/>
          <w:color w:val="2E75B6"/>
          <w:sz w:val="24"/>
          <w:szCs w:val="24"/>
        </w:rPr>
        <w:t xml:space="preserve">Detailed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Metric</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Formula / band / read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NRR (Net Retention)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(BoP ARR + Upsell + Cross-sell − Churn − Downsell) / BoP ARR. Can exceed 100%. Measures net expansion from existing base.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GRR (Gross Retention)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(BoP ARR − Churn ARR − Downsell ARR) / BoP ARR. Capped at 100%. Measures revenue leakage.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Customer Retention Rate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1 − (customers lost / customers at start of period). Customer count, not revenue.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LTV</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(ARPU × Gross Margin %) / Customer churn rate.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CAC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S&amp;M spend / # new customers acquired in period.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LTV : CAC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&gt;3 = healthy. &lt;1 = retention or acquisition cost problem.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CAC Payback (months)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12 × CAC / (ARPU × Gross Margin %). How long to recover CAC.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Magic Number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(CY Revenue − PY Revenue) / PY S&amp;M expense. &lt;0.5 inefficient, 0.5–1 balanced, &gt;1 too safe.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Rule of 40</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Revenue growth % + EBITDA margin % ≥ 40%. SaaS only.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SPC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Sustained Productivity Creator — top quartile by productivity growth in 3 of 4 time periods.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Attrition %</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 reps left during year / average # reps during year × 100. Active FTEs only.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Tenure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Time in firm vs time in role — distinguish. Use only active reps.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Ramp time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Time from hire to full productivity. Track by cohort (e.g. all 2020 hires).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OTE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On-Target Earnings = Fixed pay + OTI at 100% quota attainment.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OTI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On-Target Incentives = variable / commission earned at 100% attainment.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Payout %</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Actual variable comp / OTI. Tells you whether quotas are realistic.</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Win rate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Closed-won opportunities / Total closed opportunities. Cut by stage, source, segment.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SOW (Share of Wallet)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Your revenue from account / total addressable spend at that account.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Pipeline coverage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Open pipeline value / quota target. Often 3–4× is healthy.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Funnel conversion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MQL → SQL → Opp → Won. Track at each stage by source.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Span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 direct reports per manager. Watch for very small spans (signals over-layering).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Layers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 of management levels from top to most junior. More layers = wasted effort.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FTE / $10M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Headcount per $10M ARR. The default capacity 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Coverage ratio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Frontline sales : support role (BDR, RevOps, CSM, Pre-sales). Benchmark vs peers.</w:t>
            </w:r>
          </w:p>
        </w:tc>
      </w:tr>
    </w:tbl>
    <w:p>
      <w:r>
        <w:br w:type="page"/>
      </w:r>
    </w:p>
    <w:p>
      <w:pPr>
        <w:pStyle w:val="Heading2"/>
        <w:spacing w:after="140" w:before="280"/>
      </w:pPr>
      <w:r>
        <w:rPr>
          <w:rFonts w:ascii="Arial" w:cs="Arial" w:eastAsia="Arial" w:hAnsi="Arial"/>
          <w:b/>
          <w:bCs/>
          <w:color w:val="1F4E79"/>
          <w:sz w:val="28"/>
          <w:szCs w:val="28"/>
        </w:rPr>
        <w:t xml:space="preserve">13. Data blueprint — what to ask the client for</w:t>
      </w:r>
    </w:p>
    <w:p>
      <w:pPr>
        <w:spacing w:after="80" w:before="80"/>
      </w:pPr>
      <w:r>
        <w:rPr>
          <w:rFonts w:ascii="Arial" w:cs="Arial" w:eastAsia="Arial" w:hAnsi="Arial"/>
          <w:b/>
          <w:bCs/>
          <w:sz w:val="20"/>
          <w:szCs w:val="20"/>
        </w:rPr>
        <w:t xml:space="preserve">Twelve data packs unlock every analysis. </w:t>
      </w:r>
      <w:r>
        <w:rPr>
          <w:rFonts w:ascii="Arial" w:cs="Arial" w:eastAsia="Arial" w:hAnsi="Arial"/>
          <w:sz w:val="20"/>
          <w:szCs w:val="20"/>
        </w:rPr>
        <w:t xml:space="preserve">Ten are core; two are situational. The data blueprint goes out on Day 0 — if it isn't requested early, the diagnostic stalls in Week 2.</w:t>
      </w:r>
    </w:p>
    <w:p>
      <w:pPr>
        <w:spacing w:after="80" w:before="160"/>
        <w:jc w:val="center"/>
      </w:pPr>
      <w:r>
        <w:drawing>
          <wp:inline distT="0" distB="0" distL="0" distR="0">
            <wp:extent cx="6286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438150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The 12 data packs and their owners — pricing transaction data is the most common gating item.</w:t>
      </w:r>
    </w:p>
    <w:p>
      <w:r>
        <w:br w:type="page"/>
      </w:r>
    </w:p>
    <w:p>
      <w:pPr>
        <w:pStyle w:val="Heading3"/>
        <w:spacing w:after="100" w:before="220"/>
      </w:pPr>
      <w:r>
        <w:rPr>
          <w:rFonts w:ascii="Arial" w:cs="Arial" w:eastAsia="Arial" w:hAnsi="Arial"/>
          <w:b/>
          <w:bCs/>
          <w:color w:val="2E75B6"/>
          <w:sz w:val="24"/>
          <w:szCs w:val="24"/>
        </w:rPr>
        <w:t xml:space="preserve">Detailed pack-by-pack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700"/>
        <w:gridCol w:w="1700"/>
        <w:gridCol w:w="1560"/>
      </w:tblGrid>
      <w:tr>
        <w:trPr>
          <w:tblHeader/>
        </w:trPr>
        <w:tc>
          <w:tcPr>
            <w:tcW w:type="dxa" w:w="17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Pack</w:t>
            </w:r>
          </w:p>
        </w:tc>
        <w:tc>
          <w:tcPr>
            <w:tcW w:type="dxa" w:w="27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Mandatory fields</w:t>
            </w:r>
          </w:p>
        </w:tc>
        <w:tc>
          <w:tcPr>
            <w:tcW w:type="dxa" w:w="17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Grain / history</w:t>
            </w:r>
          </w:p>
        </w:tc>
        <w:tc>
          <w:tcPr>
            <w:tcW w:type="dxa" w:w="17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Owner</w:t>
            </w:r>
          </w:p>
        </w:tc>
        <w:tc>
          <w:tcPr>
            <w:tcW w:type="dxa" w:w="15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Priority</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Financial statements / P&amp;L</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Revenue, EBITDA, gross profit, SG&amp;A, S&amp;M spend, COGS/margin where possible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Company / BU / product / region by month or quarter
8 quarters minimum; 3 years preferred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Finance / FP&amp;A</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0000"/>
                <w:sz w:val="14"/>
                <w:szCs w:val="14"/>
              </w:rPr>
              <w:t xml:space="preserve">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Customer/account revenue history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Customer/account ID, segment, region, industry, product/service, revenue/bookings, start date, churn date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Customer x product/service x period
24-36 months preferred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Sales Ops / Finance / RevOps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0000"/>
                <w:sz w:val="14"/>
                <w:szCs w:val="14"/>
              </w:rPr>
              <w:t xml:space="preserve">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CRM opportunity / pipeline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Opportunity ID, account ID, owner, source, stage, create date, close date, amount, outcome, forecast category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Opportunity x stage movement
12-24 months closed + current open pipeline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RevOps / Sales 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0000"/>
                <w:sz w:val="14"/>
                <w:szCs w:val="14"/>
              </w:rPr>
              <w:t xml:space="preserve">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Pipeline stage history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Opportunity ID, stage name, stage entry date, stage exit date, status, amount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Opportunity-stage event
12-24 months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RevOps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0000"/>
                <w:sz w:val="14"/>
                <w:szCs w:val="14"/>
              </w:rPr>
              <w:t xml:space="preserve">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Employee census / org hierarchy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Employee ID, manager ID, job title, job family, role, region, BU, employment status, hire date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Employee snapshot + history
Current snapshot plus 24 months history if possible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HR / People Analytics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0000"/>
                <w:sz w:val="14"/>
                <w:szCs w:val="14"/>
              </w:rPr>
              <w:t xml:space="preserve">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Rep performance / quota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Employee ID, role, period, quota, bookings/revenue, attainment %, ramp status, tenure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Rep x period
8 quarters preferred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Sales Ops / RevOps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0000"/>
                <w:sz w:val="14"/>
                <w:szCs w:val="14"/>
              </w:rPr>
              <w:t xml:space="preserve">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Compensation / commissions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Employee ID, role, base, variable, OTE, payout, commission, plan type, quota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Rep x plan year / payout period
2 years preferred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Sales Comp / HR / Finance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0000"/>
                <w:sz w:val="14"/>
                <w:szCs w:val="14"/>
              </w:rPr>
              <w:t xml:space="preserve">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Pricing / transaction data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Transaction/order ID, account ID, product/SKU, list price, net price, discount, quantity, date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Transaction line / invoice line
12-24 months minimum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Finance / Pricing / Sales 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0000"/>
                <w:sz w:val="14"/>
                <w:szCs w:val="14"/>
              </w:rPr>
              <w:t xml:space="preserve">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Product/SKU margin table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SKU/product ID, COGS, gross margin, category, tier/package, list price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SKU x period
12-24 months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Finance / Product 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0000"/>
                <w:sz w:val="14"/>
                <w:szCs w:val="14"/>
              </w:rPr>
              <w:t xml:space="preserve">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Marketing spend and campaign attribution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Campaign ID, channel, spend, leads, MQLs, SQLs, opportunities, pipeline, bookings/revenue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Campaign/channel x period
12-24 months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Marketing 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0000"/>
                <w:sz w:val="14"/>
                <w:szCs w:val="14"/>
              </w:rPr>
              <w:t xml:space="preserve">Core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Customer success / renewal / churn data</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Renewal opportunity, renewal date, status, churn reason, CS owner, account tier, ARR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Account x renewal / account x month
24-36 months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CS Ops / RevOps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777777"/>
                <w:sz w:val="14"/>
                <w:szCs w:val="14"/>
              </w:rPr>
              <w:t xml:space="preserve">Situational</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Tool, vendor, agency spend and usage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Vendor/tool name, spend, contract terms, users/licenses, utilization, business owner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Vendor/tool x period
12 months minimum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Procurement / RevOps / Marketing 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777777"/>
                <w:sz w:val="14"/>
                <w:szCs w:val="14"/>
              </w:rPr>
              <w:t xml:space="preserve">Optional</w:t>
            </w:r>
          </w:p>
        </w:tc>
      </w:tr>
    </w:tbl>
    <w:p>
      <w:r>
        <w:br w:type="page"/>
      </w:r>
    </w:p>
    <w:p>
      <w:pPr>
        <w:pStyle w:val="Heading3"/>
        <w:spacing w:after="100" w:before="220"/>
      </w:pPr>
      <w:r>
        <w:rPr>
          <w:rFonts w:ascii="Arial" w:cs="Arial" w:eastAsia="Arial" w:hAnsi="Arial"/>
          <w:b/>
          <w:bCs/>
          <w:color w:val="2E75B6"/>
          <w:sz w:val="24"/>
          <w:szCs w:val="24"/>
        </w:rPr>
        <w:t xml:space="preserve">Client-ready data request — full categories</w:t>
      </w:r>
    </w:p>
    <w:p>
      <w:pPr>
        <w:spacing w:after="80" w:before="80"/>
      </w:pPr>
      <w:r>
        <w:rPr>
          <w:rFonts w:ascii="Arial" w:cs="Arial" w:eastAsia="Arial" w:hAnsi="Arial"/>
          <w:sz w:val="20"/>
          <w:szCs w:val="20"/>
        </w:rPr>
        <w:t xml:space="preserve">This is the actual data request you put in front of the client (lift directly from the scoping deck). Group by what they'll need to gather from different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Data category</w:t>
            </w:r>
          </w:p>
        </w:tc>
        <w:tc>
          <w:tcPr>
            <w:tcW w:type="dxa" w:w="16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Timeline</w:t>
            </w:r>
          </w:p>
        </w:tc>
        <w:tc>
          <w:tcPr>
            <w:tcW w:type="dxa" w:w="53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Constituents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Sales / transaction data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L5Y, min. L3Y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Industry/geography/BU, Channel, Customer (size, types), Sales rep, Product/Product Quantity, Invoice, Distributor info, Discount and promotions/rebates, Realized price, Renewals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Customer account data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L3Y, min. L12</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Customer profile (Customer ID, Industry, size, geography, segmentation, Onboarding and last billed date, Tagged rep ID, Annual sales, margin, customer lifetime value, Date lost &amp; cause of attrition), Share of wallet and total potential spend (Current, historic and projected)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Product data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L5Y, min. L3Y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Product hierarchy, List price of products, Cost allocation methodology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Customer account data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L3Y, min. L12M</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Actual compensation by role (Variable vs fixed pay, basis for variable pay)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Channel partner performance data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L3Y, min. L12M</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Performance metrics, Contracts describing partner economics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Historic P&amp;L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5Y forecast, L5Y, min. L3Y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Geography, Product, Channel, Gross margin &amp; comm. cost as % of sales, Any available estimates for future years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Lead database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Leads generated, Type (marketing/sales-led), Current state opportunity value per lead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Salesforce perf. data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L5Y, min. L3Y</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Productivity metrices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Salesforce organization chart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FTEs by BU/geography, FTEs by role, FTEs by accounts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Strategy and planning documents (Tier 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Annual Operating Plan (AOP), Current op model &amp; GTM approach, Org. structure and reporting relationships, Pricing policies and approach, Market share for company and competitors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CE KPI benchmarking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Customer segmentation details, RTM mix by revenue, Sales headcount and rep distribution, Pricing policies and approach, Competitor Benchmarks for segmentation and productivity and churn rate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Marketing data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L3Y, min. L12M</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Marketing spend by source across BUs and geos, Impression share by source, Conversion rate, Customer acquisition cost per customer and segment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Strategy and planning documents (Tier 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Account plans and meeting cadence, Digital performance data, Current compensation guiding principles, Employee handbook of roles and responsibilities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HR &amp; Payroll data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Job description, Payout structures for reps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Others – Third party data sources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Compensation across competitors, Sales conversion rates at each stage of funnel, Customer segmentation details (Key segmentation characteristics, Historic &amp; projected segment growth, Segmentation methodology), Key digital marketing applications (Key reports on search terms, campaigns and queries)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Sales rep ride alongs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Time allocation activities by rep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MoneyMap (SM)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Standard tableau output from factbase, SoW for all accounts funnel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Salesforce Census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Rep attrition data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Strategy and planning document (Tier 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Account planning process &amp; cadence, Sales strategy plans, Channel partner program management, Current management structure &amp; set up (Governance, scoping and tracking of initiatives), Mktg. calendar (current &amp; next 12M), Customer segmentation &amp; coverage design, Brand strategy and brand strength, Current sales conflict assessment and resolution mechanism</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Others (Tier 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Interviews (Management, salesforce and expert interviews; Salesforce census; Channel partner interviews; Customer surveys and interviews), Third party data sources (Competitor pricing data; Salesforce org and structure information; Operating model of competitors; Industry reports for market share)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Aura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Headcount by roles and geography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B2B CE Org Chart and JD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Headcount by roles and geography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DDA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Alexa, SemRush, and other tools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6"/>
                <w:szCs w:val="16"/>
              </w:rPr>
              <w:t xml:space="preserve">OPEX Engines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Number of headcount by roles, Benchmarked revenue, cost, profit, productivity</w:t>
            </w:r>
          </w:p>
        </w:tc>
      </w:tr>
    </w:tbl>
    <w:p>
      <w:r>
        <w:br w:type="page"/>
      </w:r>
    </w:p>
    <w:p>
      <w:pPr>
        <w:pStyle w:val="Heading2"/>
        <w:spacing w:after="140" w:before="280"/>
      </w:pPr>
      <w:r>
        <w:rPr>
          <w:rFonts w:ascii="Arial" w:cs="Arial" w:eastAsia="Arial" w:hAnsi="Arial"/>
          <w:b/>
          <w:bCs/>
          <w:color w:val="1F4E79"/>
          <w:sz w:val="28"/>
          <w:szCs w:val="28"/>
        </w:rPr>
        <w:t xml:space="preserve">14. Workflow — 5 phases from scope to storyline</w:t>
      </w:r>
    </w:p>
    <w:p>
      <w:pPr>
        <w:spacing w:after="80" w:before="160"/>
        <w:jc w:val="center"/>
      </w:pPr>
      <w:r>
        <w:drawing>
          <wp:inline distT="0" distB="0" distL="0" distR="0">
            <wp:extent cx="6858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342900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The diagnostic workflow — 5 phases with decision gates between each.</w:t>
      </w:r>
    </w:p>
    <w:p>
      <w:pPr>
        <w:pStyle w:val="Heading3"/>
        <w:spacing w:after="100" w:before="220"/>
      </w:pPr>
      <w:r>
        <w:rPr>
          <w:rFonts w:ascii="Arial" w:cs="Arial" w:eastAsia="Arial" w:hAnsi="Arial"/>
          <w:b/>
          <w:bCs/>
          <w:color w:val="2E75B6"/>
          <w:sz w:val="24"/>
          <w:szCs w:val="24"/>
        </w:rPr>
        <w:t xml:space="preserve">Phase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600"/>
        <w:gridCol w:w="2200"/>
        <w:gridCol w:w="1660"/>
      </w:tblGrid>
      <w:tr>
        <w:trPr>
          <w:tblHeader/>
        </w:trPr>
        <w:tc>
          <w:tcPr>
            <w:tcW w:type="dxa" w:w="17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Phase</w:t>
            </w:r>
          </w:p>
        </w:tc>
        <w:tc>
          <w:tcPr>
            <w:tcW w:type="dxa" w:w="1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Timing</w:t>
            </w:r>
          </w:p>
        </w:tc>
        <w:tc>
          <w:tcPr>
            <w:tcW w:type="dxa" w:w="26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Objective</w:t>
            </w:r>
          </w:p>
        </w:tc>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Outputs</w:t>
            </w:r>
          </w:p>
        </w:tc>
        <w:tc>
          <w:tcPr>
            <w:tcW w:type="dxa" w:w="16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Decision gate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0. Scope and data readiness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Days 0-3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Select hypotheses and confirm minimum viable data.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Confirmed scope, data request, hypothesis shortlist.</w:t>
            </w:r>
          </w:p>
        </w:tc>
        <w:tc>
          <w:tcPr>
            <w:tcW w:type="dxa" w:w="1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CC0000"/>
                <w:sz w:val="14"/>
                <w:szCs w:val="14"/>
              </w:rPr>
              <w:t xml:space="preserve">Can we run core analyses with available data?</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1. Baseline and outside-in screen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Week 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Establish where performance is off versus peers and internal benchmarks.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Diagnostic baseline pack; initial issue heatmap.</w:t>
            </w:r>
          </w:p>
        </w:tc>
        <w:tc>
          <w:tcPr>
            <w:tcW w:type="dxa" w:w="1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CC0000"/>
                <w:sz w:val="14"/>
                <w:szCs w:val="14"/>
              </w:rPr>
              <w:t xml:space="preserve">Which branches deserve deep-dive?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2. Root-cause deep dives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Weeks 2-3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Test root causes and quantify magnitude by branch.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Root-cause fact base; branch-level findings; preliminary size-of-prize.</w:t>
            </w:r>
          </w:p>
        </w:tc>
        <w:tc>
          <w:tcPr>
            <w:tcW w:type="dxa" w:w="1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CC0000"/>
                <w:sz w:val="14"/>
                <w:szCs w:val="14"/>
              </w:rPr>
              <w:t xml:space="preserve">Which levers are supported by evidence?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3. Opportunity sizing and prioritization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Week 3-4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Translate findings into EBITDA / revenue impact and prioritized initiatives.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Sized opportunity backlog; initiative prioritization matrix; implementation roadmap.</w:t>
            </w:r>
          </w:p>
        </w:tc>
        <w:tc>
          <w:tcPr>
            <w:tcW w:type="dxa" w:w="1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CC0000"/>
                <w:sz w:val="14"/>
                <w:szCs w:val="14"/>
              </w:rPr>
              <w:t xml:space="preserve">Which initiatives should enter implementation design?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4. Client-ready storyline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Week 4</w:t>
            </w:r>
          </w:p>
        </w:tc>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Convert analyses into narrative and executive decision pages.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SteerCo-ready story, appendix and data caveats.</w:t>
            </w:r>
          </w:p>
        </w:tc>
        <w:tc>
          <w:tcPr>
            <w:tcW w:type="dxa" w:w="16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CC0000"/>
                <w:sz w:val="14"/>
                <w:szCs w:val="14"/>
              </w:rPr>
              <w:t xml:space="preserve">What decisions / investments are needed?</w:t>
            </w:r>
          </w:p>
        </w:tc>
      </w:tr>
    </w:tbl>
    <w:p>
      <w:pPr>
        <w:spacing w:after="60" w:before="60"/>
      </w:pPr>
      <w:r>
        <w:t xml:space="preserve"/>
      </w:r>
    </w:p>
    <w:p>
      <w:pPr>
        <w:pStyle w:val="Heading3"/>
        <w:spacing w:after="100" w:before="220"/>
      </w:pPr>
      <w:r>
        <w:rPr>
          <w:rFonts w:ascii="Arial" w:cs="Arial" w:eastAsia="Arial" w:hAnsi="Arial"/>
          <w:b/>
          <w:bCs/>
          <w:color w:val="2E75B6"/>
          <w:sz w:val="24"/>
          <w:szCs w:val="24"/>
        </w:rPr>
        <w:t xml:space="preserve">Branch-by-branch playbook</w:t>
      </w:r>
    </w:p>
    <w:p>
      <w:pPr>
        <w:spacing w:after="80" w:before="80"/>
      </w:pPr>
      <w:r>
        <w:rPr>
          <w:rFonts w:ascii="Arial" w:cs="Arial" w:eastAsia="Arial" w:hAnsi="Arial"/>
          <w:sz w:val="20"/>
          <w:szCs w:val="20"/>
        </w:rPr>
        <w:t xml:space="preserve">What to run first vs deep-dive, by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2700"/>
        <w:gridCol w:w="1600"/>
        <w:gridCol w:w="1160"/>
      </w:tblGrid>
      <w:tr>
        <w:trPr>
          <w:tblHeader/>
        </w:trPr>
        <w:tc>
          <w:tcPr>
            <w:tcW w:type="dxa" w:w="1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Branch</w:t>
            </w:r>
          </w:p>
        </w:tc>
        <w:tc>
          <w:tcPr>
            <w:tcW w:type="dxa" w:w="27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Run first</w:t>
            </w:r>
          </w:p>
        </w:tc>
        <w:tc>
          <w:tcPr>
            <w:tcW w:type="dxa" w:w="27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Then deep dive</w:t>
            </w:r>
          </w:p>
        </w:tc>
        <w:tc>
          <w:tcPr>
            <w:tcW w:type="dxa" w:w="16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Decision</w:t>
            </w:r>
          </w:p>
        </w:tc>
        <w:tc>
          <w:tcPr>
            <w:tcW w:type="dxa" w:w="1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Common caveat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6"/>
                <w:szCs w:val="16"/>
              </w:rPr>
              <w:t xml:space="preserve">MKT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TAM by industry/region; sources of growth; Pareto; coverage ratios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Win/loss, proposition, brand and price-value analysis if needed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Where to play, segment focus, coverage shifts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Market data quality and segment definitions drive reliability</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6"/>
                <w:szCs w:val="16"/>
              </w:rPr>
              <w:t xml:space="preserve">PRC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Pricing UVA; product/service mix; discount distribution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Price waterfall, WTP, price architecture, SKU/account margin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Pricing governance, list-price moves, packaging, discount rules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Transaction and margin data are often the gating item</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6"/>
                <w:szCs w:val="16"/>
              </w:rPr>
              <w:t xml:space="preserve">NRP</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Pipeline coverage, win rate, stage aging, rep productivity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Territory workload, role design, time allocation, channel productivity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Sales process, coverage model, role/territory changes, enablement</w:t>
            </w:r>
          </w:p>
        </w:tc>
        <w:tc>
          <w:tcPr>
            <w:tcW w:type="dxa" w:w="1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CRM data hygiene and stage history may limit precision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6"/>
                <w:szCs w:val="16"/>
              </w:rPr>
              <w:t xml:space="preserve">IBV</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GRR/NRR, upsell/cross-sell, product penetration, top account growth</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Renewal process, account planning, CX/support friction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Retention playbook, AM/CS coverage, expansion motions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Churn reasons and product usage data often incomplete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6"/>
                <w:szCs w:val="16"/>
              </w:rPr>
              <w:t xml:space="preserve">COST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FTE/$10M, spans/layers, OTE benchmarks, ROI per rep, S&amp;M % revenue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Marketing ROI, vendor/tool ROI, cost-to-serve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Org simplification, capacity rightsizing, spend optimization</w:t>
            </w:r>
          </w:p>
        </w:tc>
        <w:tc>
          <w:tcPr>
            <w:tcW w:type="dxa" w:w="1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Cost allocation assumptions must be transparent</w:t>
            </w:r>
          </w:p>
        </w:tc>
      </w:tr>
    </w:tbl>
    <w:p>
      <w:r>
        <w:br w:type="page"/>
      </w:r>
    </w:p>
    <w:p>
      <w:pPr>
        <w:pStyle w:val="Heading2"/>
        <w:spacing w:after="140" w:before="280"/>
      </w:pPr>
      <w:r>
        <w:rPr>
          <w:rFonts w:ascii="Arial" w:cs="Arial" w:eastAsia="Arial" w:hAnsi="Arial"/>
          <w:b/>
          <w:bCs/>
          <w:color w:val="1F4E79"/>
          <w:sz w:val="28"/>
          <w:szCs w:val="28"/>
        </w:rPr>
        <w:t xml:space="preserve">15. Storyline blueprint — 15-page deck</w:t>
      </w:r>
    </w:p>
    <w:p>
      <w:pPr>
        <w:spacing w:after="80" w:before="80"/>
      </w:pPr>
      <w:r>
        <w:rPr>
          <w:rFonts w:ascii="Arial" w:cs="Arial" w:eastAsia="Arial" w:hAnsi="Arial"/>
          <w:sz w:val="20"/>
          <w:szCs w:val="20"/>
        </w:rPr>
        <w:t xml:space="preserve">The diagnostic ends in a 15-page deck. Build it as you go — every analysis should plug into a specific slide. This is the default page order; drop branches that aren't in scope.</w:t>
      </w:r>
    </w:p>
    <w:p>
      <w:pPr>
        <w:spacing w:after="80" w:before="160"/>
        <w:jc w:val="center"/>
      </w:pPr>
      <w:r>
        <w:drawing>
          <wp:inline distT="0" distB="0" distL="0" distR="0">
            <wp:extent cx="6858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0" cy="419100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The 15-page storyline blueprint, organized by branch.</w:t>
      </w:r>
    </w:p>
    <w:p>
      <w:r>
        <w:br w:type="page"/>
      </w:r>
    </w:p>
    <w:p>
      <w:pPr>
        <w:pStyle w:val="Heading3"/>
        <w:spacing w:after="100" w:before="220"/>
      </w:pPr>
      <w:r>
        <w:rPr>
          <w:rFonts w:ascii="Arial" w:cs="Arial" w:eastAsia="Arial" w:hAnsi="Arial"/>
          <w:b/>
          <w:bCs/>
          <w:color w:val="2E75B6"/>
          <w:sz w:val="24"/>
          <w:szCs w:val="24"/>
        </w:rPr>
        <w:t xml:space="preserve">Slide-by-slide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400"/>
        <w:gridCol w:w="2860"/>
        <w:gridCol w:w="2400"/>
      </w:tblGrid>
      <w:tr>
        <w:trPr>
          <w:tblHeader/>
        </w:trPr>
        <w:tc>
          <w:tcPr>
            <w:tcW w:type="dxa" w:w="6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t>
            </w:r>
          </w:p>
        </w:tc>
        <w:tc>
          <w:tcPr>
            <w:tcW w:type="dxa" w:w="11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Branch</w:t>
            </w:r>
          </w:p>
        </w:tc>
        <w:tc>
          <w:tcPr>
            <w:tcW w:type="dxa" w:w="2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Exhibit / slide</w:t>
            </w:r>
          </w:p>
        </w:tc>
        <w:tc>
          <w:tcPr>
            <w:tcW w:type="dxa" w:w="28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What it shows</w:t>
            </w:r>
          </w:p>
        </w:tc>
        <w:tc>
          <w:tcPr>
            <w:tcW w:type="dxa" w:w="2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Source analyses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Executive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CE diagnostic logic and source of EBITDA gap</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Summarizes five-branch hypothesis spine and why it covers CE effectiveness and efficiency.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01 Spine; 02 Hypotheses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Executive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Commercial productivity benchmark</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Compares revenue growth and S&amp;M/SG&amp;A productivity vs peers/SPCs.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OID-01; OID-02; OID-03; OID-04</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4"/>
                <w:szCs w:val="14"/>
              </w:rPr>
              <w:t xml:space="preserve">MKT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Where-to-play attractiveness and coverage map</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TAM/whitespace vs current revenue/FTE/pipeline by segment/geography.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CUST-05; CUST-03; CENS-02</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4"/>
                <w:szCs w:val="14"/>
              </w:rPr>
              <w:t xml:space="preserve">MKT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Customer concentration and LTV segment economics</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which segments/customers drive value and whether coverage aligns.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CUST-01; CUST-13; CUST-02</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4"/>
                <w:szCs w:val="14"/>
              </w:rPr>
              <w:t xml:space="preserve">PRC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Pricing dispersion and discount governance leakage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unexplained price/discount variation by rep/account/product.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PRICE-01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6</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4"/>
                <w:szCs w:val="14"/>
              </w:rPr>
              <w:t xml:space="preserve">PRC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Mix and margin leakage bridge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how product/service/customer/channel mix changes explain margin pressure.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CUST-08; PERF-06; NEW-PRC-05</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4"/>
                <w:szCs w:val="14"/>
              </w:rPr>
              <w:t xml:space="preserve">NRP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Pipeline generation and coverage diagnostic</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whether pipeline is sufficient and in the right segments/sources.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PIPE-02; PIPE-04; MOVE-03</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4"/>
                <w:szCs w:val="14"/>
              </w:rPr>
              <w:t xml:space="preserve">NRP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Funnel conversion and stagnancy diagnostic</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conversion bottlenecks, win-rate gaps and stage aging.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PIPE-01; PIPE-03; MOVE-01; MOVE-02</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4"/>
                <w:szCs w:val="14"/>
              </w:rPr>
              <w:t xml:space="preserve">NRP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Rep productivity dispersion and upside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productivity distribution, quartiles and potential from moving bottom/middle performers.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PERF-01; PERF-02; PERF-03; PERF-09</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4"/>
                <w:szCs w:val="14"/>
              </w:rPr>
              <w:t xml:space="preserve">NRP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Quota and incentive alignment</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quota attainment, pay-for-performance and target calibration.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PERF-12; PERF-18; COMP-03; COMP-04</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11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4"/>
                <w:szCs w:val="14"/>
              </w:rPr>
              <w:t xml:space="preserve">IBV</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Retention and expansion health</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GRR, NRR, churn and expansion benchmarks.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CUST-06; CUST-07; CUST-09</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12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4"/>
                <w:szCs w:val="14"/>
              </w:rPr>
              <w:t xml:space="preserve">IBV</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Installed-base penetration and account growth</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product penetration, top-account growth and whitespace.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CUST-10; CUST-12; CUST-13</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13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4"/>
                <w:szCs w:val="14"/>
              </w:rPr>
              <w:t xml:space="preserve">COST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Commercial capacity and org cost benchmark</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FTE/$10M, coverage ratios, spans/layers and support ratios.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CENS-02; CENS-03; CENS-06; OID-01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14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4"/>
                <w:szCs w:val="14"/>
              </w:rPr>
              <w:t xml:space="preserve">COST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Compensation cost and productivity alignment</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Shows OTE benchmarks, pay mix, payout curves and ROI per rep.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COMP-01; COMP-02; COMP-03; COMP-04; PERF-04</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15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Executive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EBITDA size-of-prize bridge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4"/>
                <w:szCs w:val="14"/>
              </w:rPr>
              <w:t xml:space="preserve">Quantifies revenue, margin, retention and cost levers into EBITDA impact.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UPSIDE-01 plus selected branch analyses</w:t>
            </w:r>
          </w:p>
        </w:tc>
      </w:tr>
    </w:tbl>
    <w:p>
      <w:r>
        <w:br w:type="page"/>
      </w:r>
    </w:p>
    <w:p>
      <w:pPr>
        <w:pStyle w:val="Heading1"/>
        <w:spacing w:after="200" w:before="360"/>
      </w:pPr>
      <w:r>
        <w:rPr>
          <w:rFonts w:ascii="Arial" w:cs="Arial" w:eastAsia="Arial" w:hAnsi="Arial"/>
          <w:b/>
          <w:bCs/>
          <w:color w:val="CC0000"/>
          <w:sz w:val="36"/>
          <w:szCs w:val="36"/>
        </w:rPr>
        <w:t xml:space="preserve">Part V — Operating Notes</w:t>
      </w:r>
    </w:p>
    <w:p>
      <w:pPr>
        <w:pStyle w:val="Heading2"/>
        <w:spacing w:after="140" w:before="280"/>
      </w:pPr>
      <w:r>
        <w:rPr>
          <w:rFonts w:ascii="Arial" w:cs="Arial" w:eastAsia="Arial" w:hAnsi="Arial"/>
          <w:b/>
          <w:bCs/>
          <w:color w:val="1F4E79"/>
          <w:sz w:val="28"/>
          <w:szCs w:val="28"/>
        </w:rPr>
        <w:t xml:space="preserve">16. Standard operating procedures and tools</w:t>
      </w:r>
    </w:p>
    <w:p>
      <w:pPr>
        <w:pStyle w:val="Heading3"/>
        <w:spacing w:after="100" w:before="220"/>
      </w:pPr>
      <w:r>
        <w:rPr>
          <w:rFonts w:ascii="Arial" w:cs="Arial" w:eastAsia="Arial" w:hAnsi="Arial"/>
          <w:b/>
          <w:bCs/>
          <w:color w:val="2E75B6"/>
          <w:sz w:val="24"/>
          <w:szCs w:val="24"/>
        </w:rPr>
        <w:t xml:space="preserve">SOPs — work norms on a CE diagnostic</w:t>
      </w:r>
    </w:p>
    <w:p>
      <w:pPr>
        <w:pStyle w:val="ListParagraph"/>
        <w:numPr>
          <w:ilvl w:val="0"/>
          <w:numId w:val="2"/>
        </w:numPr>
        <w:spacing w:after="30" w:before="30"/>
      </w:pPr>
      <w:r>
        <w:rPr>
          <w:rFonts w:ascii="Arial" w:cs="Arial" w:eastAsia="Arial" w:hAnsi="Arial"/>
          <w:sz w:val="20"/>
          <w:szCs w:val="20"/>
        </w:rPr>
        <w:t xml:space="preserve">Set up assumptions page from the start — every assumption documented as you make it.</w:t>
      </w:r>
    </w:p>
    <w:p>
      <w:pPr>
        <w:pStyle w:val="ListParagraph"/>
        <w:numPr>
          <w:ilvl w:val="0"/>
          <w:numId w:val="2"/>
        </w:numPr>
        <w:spacing w:after="30" w:before="30"/>
      </w:pPr>
      <w:r>
        <w:rPr>
          <w:rFonts w:ascii="Arial" w:cs="Arial" w:eastAsia="Arial" w:hAnsi="Arial"/>
          <w:sz w:val="20"/>
          <w:szCs w:val="20"/>
        </w:rPr>
        <w:t xml:space="preserve">Definitions at top of each column — never let a column heading be ambiguous.</w:t>
      </w:r>
    </w:p>
    <w:p>
      <w:pPr>
        <w:pStyle w:val="ListParagraph"/>
        <w:numPr>
          <w:ilvl w:val="0"/>
          <w:numId w:val="2"/>
        </w:numPr>
        <w:spacing w:after="30" w:before="30"/>
      </w:pPr>
      <w:r>
        <w:rPr>
          <w:rFonts w:ascii="Arial" w:cs="Arial" w:eastAsia="Arial" w:hAnsi="Arial"/>
          <w:sz w:val="20"/>
          <w:szCs w:val="20"/>
        </w:rPr>
        <w:t xml:space="preserve">Document everything shared with the case team in slide format — no loose Excel.</w:t>
      </w:r>
    </w:p>
    <w:p>
      <w:pPr>
        <w:pStyle w:val="ListParagraph"/>
        <w:numPr>
          <w:ilvl w:val="0"/>
          <w:numId w:val="2"/>
        </w:numPr>
        <w:spacing w:after="30" w:before="30"/>
      </w:pPr>
      <w:r>
        <w:rPr>
          <w:rFonts w:ascii="Arial" w:cs="Arial" w:eastAsia="Arial" w:hAnsi="Arial"/>
          <w:sz w:val="20"/>
          <w:szCs w:val="20"/>
        </w:rPr>
        <w:t xml:space="preserve">Keep SharePoint managed from Day 1 — folder structure, naming convention.</w:t>
      </w:r>
    </w:p>
    <w:p>
      <w:pPr>
        <w:pStyle w:val="ListParagraph"/>
        <w:numPr>
          <w:ilvl w:val="0"/>
          <w:numId w:val="2"/>
        </w:numPr>
        <w:spacing w:after="30" w:before="30"/>
      </w:pPr>
      <w:r>
        <w:rPr>
          <w:rFonts w:ascii="Arial" w:cs="Arial" w:eastAsia="Arial" w:hAnsi="Arial"/>
          <w:sz w:val="20"/>
          <w:szCs w:val="20"/>
        </w:rPr>
        <w:t xml:space="preserve">Make a Teams channel with the case team POCs — fast-loop communication.</w:t>
      </w:r>
    </w:p>
    <w:p>
      <w:pPr>
        <w:pStyle w:val="ListParagraph"/>
        <w:numPr>
          <w:ilvl w:val="0"/>
          <w:numId w:val="2"/>
        </w:numPr>
        <w:spacing w:after="30" w:before="30"/>
      </w:pPr>
      <w:r>
        <w:rPr>
          <w:rFonts w:ascii="Arial" w:cs="Arial" w:eastAsia="Arial" w:hAnsi="Arial"/>
          <w:sz w:val="20"/>
          <w:szCs w:val="20"/>
        </w:rPr>
        <w:t xml:space="preserve">Proactively mention constraints to team — don't wait for them to discover data gaps.</w:t>
      </w:r>
    </w:p>
    <w:p>
      <w:pPr>
        <w:spacing w:after="60" w:before="60"/>
      </w:pPr>
      <w:r>
        <w:t xml:space="preserve"/>
      </w:r>
    </w:p>
    <w:p>
      <w:pPr>
        <w:pStyle w:val="Heading3"/>
        <w:spacing w:after="100" w:before="220"/>
      </w:pPr>
      <w:r>
        <w:rPr>
          <w:rFonts w:ascii="Arial" w:cs="Arial" w:eastAsia="Arial" w:hAnsi="Arial"/>
          <w:b/>
          <w:bCs/>
          <w:color w:val="2E75B6"/>
          <w:sz w:val="24"/>
          <w:szCs w:val="24"/>
        </w:rPr>
        <w:t xml:space="preserve">Bain tools you'll reach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Tool</w:t>
            </w:r>
          </w:p>
        </w:tc>
        <w:tc>
          <w:tcPr>
            <w:tcW w:type="dxa" w:w="16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Type</w:t>
            </w:r>
          </w:p>
        </w:tc>
        <w:tc>
          <w:tcPr>
            <w:tcW w:type="dxa" w:w="57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Used for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Aura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tool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Headcount data by roles and geography — fast org/census benchmarks.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PACE AI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tool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Spans and layers analysis, productivity views.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PVR AI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tool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UVA filter selection — picks the right cohort variables.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SCP model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Alteryx model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SCP, Magic Number, Rule of 40 computations from financials.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Rave (on IRIS)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tool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Employee sentiment / eNPS / themes.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MoneyMap (CORO)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tool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TAM sizing, customer segmentation, opportunity mapping.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OPEX Engines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tool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Cost benchmarks — FTE / role / revenue / productivity.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B2B CE Org Chart &amp; JD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database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Headcount by role and geography benchmarks.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DDA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team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Digital marketing diagnostics — Alexa, SemRush.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FRWD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practice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Digital marketing diagnostics (full team engagement).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LinkedIn webscraping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Technique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External org structure / headcount benchmarks.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Glassdoor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Website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External rep sentiment, comp benchmarks.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8"/>
                <w:szCs w:val="18"/>
              </w:rPr>
              <w:t xml:space="preserve">Repvue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Website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External sales rep sentiment — the canonical source.</w:t>
            </w:r>
          </w:p>
        </w:tc>
      </w:tr>
    </w:tbl>
    <w:p>
      <w:r>
        <w:br w:type="page"/>
      </w:r>
    </w:p>
    <w:p>
      <w:pPr>
        <w:pStyle w:val="Heading2"/>
        <w:spacing w:after="140" w:before="280"/>
      </w:pPr>
      <w:r>
        <w:rPr>
          <w:rFonts w:ascii="Arial" w:cs="Arial" w:eastAsia="Arial" w:hAnsi="Arial"/>
          <w:b/>
          <w:bCs/>
          <w:color w:val="1F4E79"/>
          <w:sz w:val="28"/>
          <w:szCs w:val="28"/>
        </w:rPr>
        <w:t xml:space="preserve">17. UVA worked example — the most-used analysis</w:t>
      </w:r>
    </w:p>
    <w:p>
      <w:pPr>
        <w:spacing w:after="80" w:before="80"/>
      </w:pPr>
      <w:r>
        <w:rPr>
          <w:rFonts w:ascii="Arial" w:cs="Arial" w:eastAsia="Arial" w:hAnsi="Arial"/>
          <w:b/>
          <w:bCs/>
          <w:sz w:val="20"/>
          <w:szCs w:val="20"/>
        </w:rPr>
        <w:t xml:space="preserve">UVA (Unjustified Variability Analysis) </w:t>
      </w:r>
      <w:r>
        <w:rPr>
          <w:rFonts w:ascii="Arial" w:cs="Arial" w:eastAsia="Arial" w:hAnsi="Arial"/>
          <w:sz w:val="20"/>
          <w:szCs w:val="20"/>
        </w:rPr>
        <w:t xml:space="preserve">is a margin or discount study to understand whether the client gives different discounts (or earns different margins) to </w:t>
      </w:r>
      <w:r>
        <w:rPr>
          <w:rFonts w:ascii="Arial" w:cs="Arial" w:eastAsia="Arial" w:hAnsi="Arial"/>
          <w:b/>
          <w:bCs/>
          <w:sz w:val="20"/>
          <w:szCs w:val="20"/>
        </w:rPr>
        <w:t xml:space="preserve">like-for-like</w:t>
      </w:r>
      <w:r>
        <w:rPr>
          <w:rFonts w:ascii="Arial" w:cs="Arial" w:eastAsia="Arial" w:hAnsi="Arial"/>
          <w:sz w:val="20"/>
          <w:szCs w:val="20"/>
        </w:rPr>
        <w:t xml:space="preserve"> customer cohorts. It's the single most-used pricing analysis. The worked example below comes from the actual cheat sheet (informed by AG Grid, Arrow, Parrot, WWEX cases).</w:t>
      </w:r>
    </w:p>
    <w:p>
      <w:pPr>
        <w:pStyle w:val="Heading3"/>
        <w:spacing w:after="100" w:before="220"/>
      </w:pPr>
      <w:r>
        <w:rPr>
          <w:rFonts w:ascii="Arial" w:cs="Arial" w:eastAsia="Arial" w:hAnsi="Arial"/>
          <w:b/>
          <w:bCs/>
          <w:color w:val="2E75B6"/>
          <w:sz w:val="24"/>
          <w:szCs w:val="24"/>
        </w:rPr>
        <w:t xml:space="preserve">Day 1 / pre-analysis checks</w:t>
      </w:r>
    </w:p>
    <w:p>
      <w:pPr>
        <w:pStyle w:val="ListParagraph"/>
        <w:numPr>
          <w:ilvl w:val="0"/>
          <w:numId w:val="2"/>
        </w:numPr>
        <w:spacing w:after="30" w:before="30"/>
      </w:pPr>
      <w:r>
        <w:rPr>
          <w:rFonts w:ascii="Arial" w:cs="Arial" w:eastAsia="Arial" w:hAnsi="Arial"/>
          <w:sz w:val="20"/>
          <w:szCs w:val="20"/>
        </w:rPr>
        <w:t xml:space="preserve">Clearly understand the metric to be used for UVA (Discount or Margin), and understand the client's business and GTM model (e.g., do they sell directly or through partners?).</w:t>
      </w:r>
    </w:p>
    <w:p>
      <w:pPr>
        <w:pStyle w:val="ListParagraph"/>
        <w:numPr>
          <w:ilvl w:val="0"/>
          <w:numId w:val="2"/>
        </w:numPr>
        <w:spacing w:after="30" w:before="30"/>
      </w:pPr>
      <w:r>
        <w:rPr>
          <w:rFonts w:ascii="Arial" w:cs="Arial" w:eastAsia="Arial" w:hAnsi="Arial"/>
          <w:sz w:val="20"/>
          <w:szCs w:val="20"/>
        </w:rPr>
        <w:t xml:space="preserve">UVA is carried out at the customer level — select the column representative of customer ID or name, and confirm with case team.</w:t>
      </w:r>
    </w:p>
    <w:p>
      <w:pPr>
        <w:pStyle w:val="ListParagraph"/>
        <w:numPr>
          <w:ilvl w:val="0"/>
          <w:numId w:val="2"/>
        </w:numPr>
        <w:spacing w:after="30" w:before="30"/>
      </w:pPr>
      <w:r>
        <w:rPr>
          <w:rFonts w:ascii="Arial" w:cs="Arial" w:eastAsia="Arial" w:hAnsi="Arial"/>
          <w:sz w:val="20"/>
          <w:szCs w:val="20"/>
        </w:rPr>
        <w:t xml:space="preserve">Identify the columns needed for the analysis, and note any calculations that may be missing.</w:t>
      </w:r>
    </w:p>
    <w:p>
      <w:pPr>
        <w:pStyle w:val="ListParagraph"/>
        <w:numPr>
          <w:ilvl w:val="0"/>
          <w:numId w:val="2"/>
        </w:numPr>
        <w:spacing w:after="30" w:before="30"/>
      </w:pPr>
      <w:r>
        <w:rPr>
          <w:rFonts w:ascii="Arial" w:cs="Arial" w:eastAsia="Arial" w:hAnsi="Arial"/>
          <w:sz w:val="20"/>
          <w:szCs w:val="20"/>
        </w:rPr>
        <w:t xml:space="preserve">Create the calculation for discount or margin and validate against given values.</w:t>
      </w:r>
    </w:p>
    <w:p>
      <w:pPr>
        <w:pStyle w:val="ListParagraph"/>
        <w:numPr>
          <w:ilvl w:val="0"/>
          <w:numId w:val="2"/>
        </w:numPr>
        <w:spacing w:after="30" w:before="30"/>
      </w:pPr>
      <w:r>
        <w:rPr>
          <w:rFonts w:ascii="Arial" w:cs="Arial" w:eastAsia="Arial" w:hAnsi="Arial"/>
          <w:sz w:val="20"/>
          <w:szCs w:val="20"/>
        </w:rPr>
        <w:t xml:space="preserve">Select filters for the analysis and check whether they are unique at the customer level.</w:t>
      </w:r>
    </w:p>
    <w:p>
      <w:pPr>
        <w:pStyle w:val="Heading3"/>
        <w:spacing w:after="100" w:before="220"/>
      </w:pPr>
      <w:r>
        <w:rPr>
          <w:rFonts w:ascii="Arial" w:cs="Arial" w:eastAsia="Arial" w:hAnsi="Arial"/>
          <w:b/>
          <w:bCs/>
          <w:color w:val="2E75B6"/>
          <w:sz w:val="24"/>
          <w:szCs w:val="24"/>
        </w:rPr>
        <w:t xml:space="preserve">Steps for the analysis</w:t>
      </w:r>
    </w:p>
    <w:p>
      <w:pPr>
        <w:pStyle w:val="ListParagraph"/>
        <w:numPr>
          <w:ilvl w:val="0"/>
          <w:numId w:val="2"/>
        </w:numPr>
        <w:spacing w:after="30" w:before="30"/>
      </w:pPr>
      <w:r>
        <w:rPr>
          <w:rFonts w:ascii="Arial" w:cs="Arial" w:eastAsia="Arial" w:hAnsi="Arial"/>
          <w:sz w:val="20"/>
          <w:szCs w:val="20"/>
        </w:rPr>
        <w:t xml:space="preserve">Prepare the standard two-slide output — identify the hierarchy of filters, the # of clusters being formed, and note assumptions, exclusions, and revenue lost with them.</w:t>
      </w:r>
    </w:p>
    <w:p>
      <w:pPr>
        <w:pStyle w:val="ListParagraph"/>
        <w:numPr>
          <w:ilvl w:val="0"/>
          <w:numId w:val="2"/>
        </w:numPr>
        <w:spacing w:after="30" w:before="30"/>
      </w:pPr>
      <w:r>
        <w:rPr>
          <w:rFonts w:ascii="Arial" w:cs="Arial" w:eastAsia="Arial" w:hAnsi="Arial"/>
          <w:sz w:val="20"/>
          <w:szCs w:val="20"/>
        </w:rPr>
        <w:t xml:space="preserve">Selecting filters for UVA — use PVR AI for filter selection, or box plots to understand the variance in each filter alongside the business sense for each filter.</w:t>
      </w:r>
    </w:p>
    <w:p>
      <w:pPr>
        <w:pStyle w:val="Heading3"/>
        <w:spacing w:after="100" w:before="220"/>
      </w:pPr>
      <w:r>
        <w:rPr>
          <w:rFonts w:ascii="Arial" w:cs="Arial" w:eastAsia="Arial" w:hAnsi="Arial"/>
          <w:b/>
          <w:bCs/>
          <w:color w:val="2E75B6"/>
          <w:sz w:val="24"/>
          <w:szCs w:val="24"/>
        </w:rPr>
        <w:t xml:space="preserve">Past cases to reference</w:t>
      </w:r>
    </w:p>
    <w:p>
      <w:pPr>
        <w:pStyle w:val="ListParagraph"/>
        <w:numPr>
          <w:ilvl w:val="0"/>
          <w:numId w:val="2"/>
        </w:numPr>
        <w:spacing w:after="30" w:before="30"/>
      </w:pPr>
      <w:r>
        <w:rPr>
          <w:rFonts w:ascii="Arial" w:cs="Arial" w:eastAsia="Arial" w:hAnsi="Arial"/>
          <w:sz w:val="20"/>
          <w:szCs w:val="20"/>
        </w:rPr>
        <w:t xml:space="preserve">AG Grid</w:t>
      </w:r>
    </w:p>
    <w:p>
      <w:pPr>
        <w:pStyle w:val="ListParagraph"/>
        <w:numPr>
          <w:ilvl w:val="0"/>
          <w:numId w:val="2"/>
        </w:numPr>
        <w:spacing w:after="30" w:before="30"/>
      </w:pPr>
      <w:r>
        <w:rPr>
          <w:rFonts w:ascii="Arial" w:cs="Arial" w:eastAsia="Arial" w:hAnsi="Arial"/>
          <w:sz w:val="20"/>
          <w:szCs w:val="20"/>
        </w:rPr>
        <w:t xml:space="preserve">Arrow</w:t>
      </w:r>
    </w:p>
    <w:p>
      <w:pPr>
        <w:pStyle w:val="ListParagraph"/>
        <w:numPr>
          <w:ilvl w:val="0"/>
          <w:numId w:val="2"/>
        </w:numPr>
        <w:spacing w:after="30" w:before="30"/>
      </w:pPr>
      <w:r>
        <w:rPr>
          <w:rFonts w:ascii="Arial" w:cs="Arial" w:eastAsia="Arial" w:hAnsi="Arial"/>
          <w:sz w:val="20"/>
          <w:szCs w:val="20"/>
        </w:rPr>
        <w:t xml:space="preserve">Parrot</w:t>
      </w:r>
    </w:p>
    <w:p>
      <w:pPr>
        <w:pStyle w:val="ListParagraph"/>
        <w:numPr>
          <w:ilvl w:val="0"/>
          <w:numId w:val="2"/>
        </w:numPr>
        <w:spacing w:after="30" w:before="30"/>
      </w:pPr>
      <w:r>
        <w:rPr>
          <w:rFonts w:ascii="Arial" w:cs="Arial" w:eastAsia="Arial" w:hAnsi="Arial"/>
          <w:sz w:val="20"/>
          <w:szCs w:val="20"/>
        </w:rPr>
        <w:t xml:space="preserve">WWEX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2F8FE" w:val="clear"/>
            <w:tcMar>
              <w:top w:type="dxa" w:w="140"/>
              <w:left w:type="dxa" w:w="180"/>
              <w:bottom w:type="dxa" w:w="140"/>
              <w:right w:type="dxa" w:w="180"/>
            </w:tcMar>
          </w:tcPr>
          <w:p>
            <w:r>
              <w:rPr>
                <w:rFonts w:ascii="Arial" w:cs="Arial" w:eastAsia="Arial" w:hAnsi="Arial"/>
                <w:b/>
                <w:bCs/>
                <w:color w:val="0F2A4A"/>
                <w:sz w:val="22"/>
                <w:szCs w:val="22"/>
              </w:rPr>
              <w:t xml:space="preserve">WHAT GOOD LOOKS LIKE</w:t>
            </w:r>
          </w:p>
          <w:p>
            <w:pPr>
              <w:spacing w:after="40" w:before="40"/>
            </w:pPr>
            <w:r>
              <w:rPr>
                <w:rFonts w:ascii="Arial" w:cs="Arial" w:eastAsia="Arial" w:hAnsi="Arial"/>
                <w:color w:val="1A1A1A"/>
                <w:sz w:val="20"/>
                <w:szCs w:val="20"/>
              </w:rPr>
              <w:t xml:space="preserve">• Two-slide output: (1) the hierarchy of filters and the resulting clusters; (2) the variability within each cluster and the revenue/EBITDA at stake.</w:t>
            </w:r>
          </w:p>
          <w:p>
            <w:pPr>
              <w:spacing w:after="40" w:before="40"/>
            </w:pPr>
            <w:r>
              <w:rPr>
                <w:rFonts w:ascii="Arial" w:cs="Arial" w:eastAsia="Arial" w:hAnsi="Arial"/>
                <w:color w:val="1A1A1A"/>
                <w:sz w:val="20"/>
                <w:szCs w:val="20"/>
              </w:rPr>
              <w:t xml:space="preserve">• The "story" is the unjustified gap — discounts that don't correlate to a real economic justification (volume, strategic value, cost-to-serve).</w:t>
            </w:r>
          </w:p>
          <w:p>
            <w:pPr>
              <w:spacing w:after="40" w:before="40"/>
            </w:pPr>
            <w:r>
              <w:rPr>
                <w:rFonts w:ascii="Arial" w:cs="Arial" w:eastAsia="Arial" w:hAnsi="Arial"/>
                <w:color w:val="1A1A1A"/>
                <w:sz w:val="20"/>
                <w:szCs w:val="20"/>
              </w:rPr>
              <w:t xml:space="preserve">• Sizing: typically expressed as "X% margin / Y$ EBITDA potential from harmonizing discounts in cluster Z".</w:t>
            </w:r>
          </w:p>
        </w:tc>
      </w:tr>
    </w:tbl>
    <w:p>
      <w:r>
        <w:br w:type="page"/>
      </w:r>
    </w:p>
    <w:p>
      <w:pPr>
        <w:pStyle w:val="Heading2"/>
        <w:spacing w:after="140" w:before="280"/>
      </w:pPr>
      <w:r>
        <w:rPr>
          <w:rFonts w:ascii="Arial" w:cs="Arial" w:eastAsia="Arial" w:hAnsi="Arial"/>
          <w:b/>
          <w:bCs/>
          <w:color w:val="1F4E79"/>
          <w:sz w:val="28"/>
          <w:szCs w:val="28"/>
        </w:rPr>
        <w:t xml:space="preserve">18. Recommended additions — closing catalogue gaps</w:t>
      </w:r>
    </w:p>
    <w:p>
      <w:pPr>
        <w:spacing w:after="80" w:before="80"/>
      </w:pPr>
      <w:r>
        <w:rPr>
          <w:rFonts w:ascii="Arial" w:cs="Arial" w:eastAsia="Arial" w:hAnsi="Arial"/>
          <w:sz w:val="20"/>
          <w:szCs w:val="20"/>
        </w:rPr>
        <w:t xml:space="preserve">Sixteen analyses are flagged as gaps — useful for specific scopes but not yet in the catalog. Add them as scope demands.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700"/>
        <w:gridCol w:w="2700"/>
        <w:gridCol w:w="1460"/>
      </w:tblGrid>
      <w:tr>
        <w:trPr>
          <w:tblHeader/>
        </w:trPr>
        <w:tc>
          <w:tcPr>
            <w:tcW w:type="dxa" w:w="14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New ID</w:t>
            </w:r>
          </w:p>
        </w:tc>
        <w:tc>
          <w:tcPr>
            <w:tcW w:type="dxa" w:w="11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Branch</w:t>
            </w:r>
          </w:p>
        </w:tc>
        <w:tc>
          <w:tcPr>
            <w:tcW w:type="dxa" w:w="27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Recommended addition</w:t>
            </w:r>
          </w:p>
        </w:tc>
        <w:tc>
          <w:tcPr>
            <w:tcW w:type="dxa" w:w="27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Why it matters</w:t>
            </w:r>
          </w:p>
        </w:tc>
        <w:tc>
          <w:tcPr>
            <w:tcW w:type="dxa" w:w="14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Priority</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NEW-MKT-01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4"/>
                <w:szCs w:val="14"/>
              </w:rPr>
              <w:t xml:space="preserve">MKT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Win/loss + VOC / NPS competitor diagnostic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Tests whether product/service proposition under-delivers versus competitor alternatives and customer priorities.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Situational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NEW-MKT-02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2D7D3F"/>
                <w:sz w:val="14"/>
                <w:szCs w:val="14"/>
              </w:rPr>
              <w:t xml:space="preserve">MKT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Brand health / digital discoverability diagnostic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Tests whether weak market visibility or positioning constrains top-of-funnel and premium pricing.</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Optional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NEW-PRC-01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4"/>
                <w:szCs w:val="14"/>
              </w:rPr>
              <w:t xml:space="preserve">PRC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Price benchmarking / WTP / elasticity diagnostic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Determines whether list prices are too low/high relative to customer value and competitive benchmarks.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Core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NEW-PRC-02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4"/>
                <w:szCs w:val="14"/>
              </w:rPr>
              <w:t xml:space="preserve">PRC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Price architecture / packaging / tiering review</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Tests whether packaging, tier thresholds or SKU design create leakage, cannibalization or weak expansion paths.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Situational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NEW-PRC-03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4"/>
                <w:szCs w:val="14"/>
              </w:rPr>
              <w:t xml:space="preserve">PRC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Price waterfall + approval leakage analysis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Quantifies leakage from list to pocket price and identifies whether approvals/governance are effective.</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Core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NEW-PRC-04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4"/>
                <w:szCs w:val="14"/>
              </w:rPr>
              <w:t xml:space="preserve">PRC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Account-level margin / price waterfall analysis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Tests whether strategic accounts receive discounts justified by volume, cost-to-serve, margin or strategic value.</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Core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NEW-PRC-05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F4E79"/>
                <w:sz w:val="14"/>
                <w:szCs w:val="14"/>
              </w:rPr>
              <w:t xml:space="preserve">PRC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SKU / product margin trend analysis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Converts product/service mix shifts into margin and EBITDA impact.</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Core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NEW-NRP-01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4"/>
                <w:szCs w:val="14"/>
              </w:rPr>
              <w:t xml:space="preserve">NRP</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Seller time allocation / CRM activity audit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Quantifies non-selling time and process friction that reduce effective capacity.</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Situational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NEW-NRP-02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4"/>
                <w:szCs w:val="14"/>
              </w:rPr>
              <w:t xml:space="preserve">NRP</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Channel productivity / economics analysis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Compares field, inside, digital and partner economics by segment and buying complexity.</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Situational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NEW-NRP-03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4"/>
                <w:szCs w:val="14"/>
              </w:rPr>
              <w:t xml:space="preserve">NRP</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Cost-to-serve by customer / segment analysis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Measures commercial and support cost relative to customer/segment revenue, margin and LTV.</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Situational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NEW-NRP-04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B8860B"/>
                <w:sz w:val="14"/>
                <w:szCs w:val="14"/>
              </w:rPr>
              <w:t xml:space="preserve">NRP</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Sales role / overlay ROI and deal ownership analysis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Tests whether role design, overlays and handoffs improve conversion or create complexity.</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Situational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NEW-IBV-01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4"/>
                <w:szCs w:val="14"/>
              </w:rPr>
              <w:t xml:space="preserve">IBV</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Account plan quality audit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Assesses whether account planning, tiering and whitespace identification are robust for priority accounts.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Situational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NEW-IBV-02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4"/>
                <w:szCs w:val="14"/>
              </w:rPr>
              <w:t xml:space="preserve">IBV</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Renewal pipeline and process analysis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Tests whether churn is preventable through better renewal process, coverage and intervention timing.</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Situational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NEW-IBV-03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CC6600"/>
                <w:sz w:val="14"/>
                <w:szCs w:val="14"/>
              </w:rPr>
              <w:t xml:space="preserve">IBV</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Customer experience / support friction diagnostic</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Links churn and expansion outcomes to NPS, support issues and customer journey pain points.</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Situational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NEW-COST-01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4"/>
                <w:szCs w:val="14"/>
              </w:rPr>
              <w:t xml:space="preserve">COST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Marketing spend ROI and attribution analysis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Identifies channel/campaign investments that generate weak pipeline/revenue ROI or duplicate spend.</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Core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NEW-COST-02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6F42C1"/>
                <w:sz w:val="14"/>
                <w:szCs w:val="14"/>
              </w:rPr>
              <w:t xml:space="preserve">COST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bCs/>
                <w:color w:val="1A1A1A"/>
                <w:sz w:val="14"/>
                <w:szCs w:val="14"/>
              </w:rPr>
              <w:t xml:space="preserve">Commercial tools, agency and vendor ROI review</w:t>
            </w:r>
          </w:p>
        </w:tc>
        <w:tc>
          <w:tcPr>
            <w:tcW w:type="dxa" w:w="2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Evaluates whether tech, tools, agencies and vendors produce utilization and business impact above cost.</w:t>
            </w:r>
          </w:p>
        </w:tc>
        <w:tc>
          <w:tcPr>
            <w:tcW w:type="dxa" w:w="14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3"/>
                <w:szCs w:val="13"/>
              </w:rPr>
              <w:t xml:space="preserve">Optional</w:t>
            </w:r>
          </w:p>
        </w:tc>
      </w:tr>
    </w:tbl>
    <w:p>
      <w:r>
        <w:br w:type="page"/>
      </w:r>
    </w:p>
    <w:p>
      <w:pPr>
        <w:pStyle w:val="Heading2"/>
        <w:spacing w:after="140" w:before="280"/>
      </w:pPr>
      <w:r>
        <w:rPr>
          <w:rFonts w:ascii="Arial" w:cs="Arial" w:eastAsia="Arial" w:hAnsi="Arial"/>
          <w:b/>
          <w:bCs/>
          <w:color w:val="1F4E79"/>
          <w:sz w:val="28"/>
          <w:szCs w:val="28"/>
        </w:rPr>
        <w:t xml:space="preserve">19. Glossary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Term</w:t>
            </w:r>
          </w:p>
        </w:tc>
        <w:tc>
          <w:tcPr>
            <w:tcW w:type="dxa" w:w="7160"/>
            <w:tcBorders>
              <w:top w:val="single" w:color="CCCCCC" w:sz="4"/>
              <w:left w:val="single" w:color="CCCCCC" w:sz="4"/>
              <w:bottom w:val="single" w:color="CCCCCC" w:sz="4"/>
              <w:right w:val="single" w:color="CCCCCC" w:sz="4"/>
            </w:tcBorders>
            <w:shd w:fill="1F4E79"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Definition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ARR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Annual Recurring Revenue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BDR / SDR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Business Development Rep / Sales Development Rep (top-of-funnel prospecting)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BoP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Beginning of Period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CAC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Customer Acquisition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CARR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Contracted Annual Recurring Revenue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Commercial Excellence (Bain practice)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CDD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Commercial Due Diligence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CLV</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Customer Lifetime Value (used interchangeably with LTV)</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COGS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Cost of Goods Sold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CORO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customer/CE platform &amp; toolkit; houses MoneyMap and other GTM tools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COST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CE diagnostic branch — S&amp;M cost structure &amp; commercial capacity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CSM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Customer Success Manager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DDA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Digital Demand Acceleration (Bain team for digital outbound)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DD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Due Diligence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eNPS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Employee Net Promoter Score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FRWD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Bain's digital practice; runs digital marketing diagnostics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FTE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Full-Time Employee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GRR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Gross Revenue Retention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GTM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Go-To-Market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IBV</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CE diagnostic branch — Installed-Base Value, retention &amp; expansion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IRIS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internal data platform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ISR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Inside Sales Rep</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LTV</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Customer Lifetime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MKT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CE diagnostic branch — Market prioritization &amp; proposition-market fit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MQL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Marketing Qualified Lead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NRP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CE diagnostic branch — New Revenue Productivity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NRR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Net Revenue Retention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OID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Outside-in Diagnostics module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OTE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On-Target Earnings (fixed + incentive at 100% attainment)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OTI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On-Target Incentives (variable comp at 100% attainment)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PACE AI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tool for spans/layers and productivity analysis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PRC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CE diagnostic branch — Price, discounting &amp; mix leakage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PVR AI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tool for selecting filters in UVA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PY / CY</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Prior Year / Current Year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Rave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Bain sentiment / employee-feedback analysis tool on IRIS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RevOps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Revenue Operations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RTM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Route To Market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S&amp;M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Sales &amp; Marketing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SCP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Sustained Commercial Productivity (industry-wide productivity benchmark)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Sales Engineer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SG&amp;A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Selling, General &amp; Administrative expenses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SOW</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Share of Wallet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SPC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Sustained Productivity Creator (a top-quartile-productivity company)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SQL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Sales Qualified Lead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TAM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Total Addressable Market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TCV</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Total Contract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UVA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Unjustified Variability Analysis (discount/margin pricing study)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VOC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Voice of Customer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WACC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Weighted Average Cost of Capital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WTP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8"/>
                <w:szCs w:val="18"/>
              </w:rPr>
              <w:t xml:space="preserve">Willingness To Pay</w:t>
            </w:r>
          </w:p>
        </w:tc>
      </w:tr>
    </w:tbl>
    <w:p>
      <w:pPr>
        <w:spacing w:after="60" w:before="60"/>
      </w:pPr>
      <w:r>
        <w:t xml:space="preserve"/>
      </w:r>
    </w:p>
    <w:p>
      <w:pPr>
        <w:spacing w:before="600"/>
        <w:jc w:val="center"/>
      </w:pPr>
      <w:r>
        <w:rPr>
          <w:rFonts w:ascii="Arial" w:cs="Arial" w:eastAsia="Arial" w:hAnsi="Arial"/>
          <w:i/>
          <w:iCs/>
          <w:color w:val="888888"/>
          <w:sz w:val="22"/>
          <w:szCs w:val="22"/>
        </w:rPr>
        <w:t xml:space="preserve">— End of notes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C000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 w:type="paragraph" w:styleId="Heading4">
    <w:name w:val="Heading 4"/>
    <w:basedOn w:val="Normal"/>
    <w:next w:val="Normal"/>
    <w:qFormat/>
    <w:pPr>
      <w:spacing w:after="80" w:before="18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8e83487c8f5557d8b4eefdf35a91a1da9e13e8.png"/><Relationship Id="rId8" Type="http://schemas.openxmlformats.org/officeDocument/2006/relationships/image" Target="media/6101f59ea7caf8eaff3f69afee69b55a44c0372d.png"/><Relationship Id="rId9" Type="http://schemas.openxmlformats.org/officeDocument/2006/relationships/image" Target="media/5c581ab3244bc81721da21d5f88f7fb2d35d5d22.png"/><Relationship Id="rId10" Type="http://schemas.openxmlformats.org/officeDocument/2006/relationships/image" Target="media/15ea459212b681ed8c7b02d4f47180e847210ea9.png"/><Relationship Id="rId11" Type="http://schemas.openxmlformats.org/officeDocument/2006/relationships/image" Target="media/a738a3e15e3d1e5475d54727c5d0d68cacb1d435.png"/><Relationship Id="rId12" Type="http://schemas.openxmlformats.org/officeDocument/2006/relationships/image" Target="media/39ea32f5a6b7d39181944825f5b299ebdf59867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2026-05-23T19:19:52.299Z</dcterms:created>
  <dcterms:modified xsi:type="dcterms:W3CDTF">2026-05-23T19:19:52.299Z</dcterms:modified>
</cp:coreProperties>
</file>

<file path=docProps/custom.xml><?xml version="1.0" encoding="utf-8"?>
<Properties xmlns="http://schemas.openxmlformats.org/officeDocument/2006/custom-properties" xmlns:vt="http://schemas.openxmlformats.org/officeDocument/2006/docPropsVTypes"/>
</file>