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C7DBF" w14:textId="03F3A1B5" w:rsidR="001B10B0" w:rsidRDefault="00711665" w:rsidP="001B10B0">
      <w:pPr>
        <w:spacing w:after="120" w:line="360" w:lineRule="auto"/>
        <w:jc w:val="center"/>
        <w:rPr>
          <w:rFonts w:ascii="Times New Roman" w:hAnsi="Times New Roman" w:cs="Times New Roman"/>
        </w:rPr>
      </w:pPr>
      <w:bookmarkStart w:id="0" w:name="introduction"/>
      <w:bookmarkStart w:id="1" w:name="conflict"/>
      <w:r>
        <w:rPr>
          <w:rFonts w:ascii="Times New Roman" w:hAnsi="Times New Roman" w:cs="Times New Roman"/>
          <w:noProof/>
        </w:rPr>
        <w:drawing>
          <wp:inline distT="0" distB="0" distL="0" distR="0" wp14:anchorId="348F42F8" wp14:editId="2CEBE38D">
            <wp:extent cx="5943801" cy="502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801" cy="5029370"/>
                    </a:xfrm>
                    <a:prstGeom prst="rect">
                      <a:avLst/>
                    </a:prstGeom>
                  </pic:spPr>
                </pic:pic>
              </a:graphicData>
            </a:graphic>
          </wp:inline>
        </w:drawing>
      </w:r>
    </w:p>
    <w:p w14:paraId="5500C1EE" w14:textId="7B7E0A68" w:rsidR="001B10B0" w:rsidRPr="00B42B17" w:rsidRDefault="001B10B0" w:rsidP="001B10B0">
      <w:pPr>
        <w:spacing w:after="120" w:line="276" w:lineRule="auto"/>
        <w:rPr>
          <w:rFonts w:ascii="Times New Roman" w:hAnsi="Times New Roman" w:cs="Times New Roman"/>
          <w:b/>
          <w:bCs/>
        </w:rPr>
      </w:pPr>
      <w:r w:rsidRPr="00B42B17">
        <w:rPr>
          <w:rFonts w:ascii="Times New Roman" w:hAnsi="Times New Roman" w:cs="Times New Roman"/>
          <w:b/>
          <w:bCs/>
        </w:rPr>
        <w:t xml:space="preserve">Figure: Geographic distribution of </w:t>
      </w:r>
      <w:r w:rsidR="00711665">
        <w:rPr>
          <w:rFonts w:ascii="Times New Roman" w:hAnsi="Times New Roman" w:cs="Times New Roman"/>
          <w:b/>
          <w:bCs/>
        </w:rPr>
        <w:t>violence and protests</w:t>
      </w:r>
      <w:r>
        <w:rPr>
          <w:rFonts w:ascii="Times New Roman" w:hAnsi="Times New Roman" w:cs="Times New Roman"/>
          <w:b/>
          <w:bCs/>
        </w:rPr>
        <w:t xml:space="preserve"> (2010 – 2021)</w:t>
      </w:r>
      <w:r w:rsidRPr="00B42B17">
        <w:rPr>
          <w:rFonts w:ascii="Times New Roman" w:hAnsi="Times New Roman" w:cs="Times New Roman"/>
          <w:b/>
          <w:bCs/>
        </w:rPr>
        <w:t xml:space="preserve"> and the major cities</w:t>
      </w:r>
    </w:p>
    <w:p w14:paraId="191CB47C" w14:textId="708570DC" w:rsidR="001B10B0" w:rsidRPr="00853E74" w:rsidRDefault="001B10B0" w:rsidP="001B10B0">
      <w:pPr>
        <w:spacing w:after="120" w:line="276" w:lineRule="auto"/>
        <w:rPr>
          <w:rFonts w:ascii="Times New Roman" w:hAnsi="Times New Roman" w:cs="Times New Roman"/>
          <w:sz w:val="20"/>
          <w:szCs w:val="20"/>
        </w:rPr>
      </w:pPr>
      <w:r>
        <w:rPr>
          <w:rFonts w:ascii="Times New Roman" w:hAnsi="Times New Roman" w:cs="Times New Roman"/>
          <w:sz w:val="20"/>
          <w:szCs w:val="20"/>
        </w:rPr>
        <w:t>Note: T</w:t>
      </w:r>
      <w:r w:rsidRPr="00B42B17">
        <w:rPr>
          <w:rFonts w:ascii="Times New Roman" w:hAnsi="Times New Roman" w:cs="Times New Roman"/>
          <w:sz w:val="20"/>
          <w:szCs w:val="20"/>
        </w:rPr>
        <w:t xml:space="preserve">he </w:t>
      </w:r>
      <w:r>
        <w:rPr>
          <w:rFonts w:ascii="Times New Roman" w:hAnsi="Times New Roman" w:cs="Times New Roman"/>
          <w:sz w:val="20"/>
          <w:szCs w:val="20"/>
        </w:rPr>
        <w:t xml:space="preserve">conflict </w:t>
      </w:r>
      <w:r w:rsidRPr="00B42B17">
        <w:rPr>
          <w:rFonts w:ascii="Times New Roman" w:hAnsi="Times New Roman" w:cs="Times New Roman"/>
          <w:sz w:val="20"/>
          <w:szCs w:val="20"/>
        </w:rPr>
        <w:t>data are for Cambodia, Indonesia (2015 – 2021), Malaysia (2018 – 2021), Myanmar, Philippines (2016 – 2021), Thailand, and Vietnam.</w:t>
      </w:r>
      <w:r>
        <w:rPr>
          <w:rFonts w:ascii="Times New Roman" w:hAnsi="Times New Roman" w:cs="Times New Roman"/>
          <w:sz w:val="20"/>
          <w:szCs w:val="20"/>
        </w:rPr>
        <w:t xml:space="preserve"> The presented cities are the largest, in terms of population, of those with geographic centroid within a one-degree cell. When multiple cities fall within a cell, the largest of these cities is presented. Specifically, featured are the cities with population of more than 0.5 million that fall in the grid cell with aggregated city population of more than 2 million. This rule is arbitrary, and is only used for illustrative purposes, that is, to ensure that a manageable number of cities are presented on the map. </w:t>
      </w:r>
    </w:p>
    <w:p w14:paraId="7D44B789" w14:textId="77777777" w:rsidR="001B10B0" w:rsidRPr="00887CCD" w:rsidRDefault="001B10B0" w:rsidP="001B10B0">
      <w:pPr>
        <w:spacing w:after="120" w:line="360" w:lineRule="auto"/>
        <w:rPr>
          <w:rFonts w:ascii="Times New Roman" w:hAnsi="Times New Roman" w:cs="Times New Roman"/>
        </w:rPr>
      </w:pPr>
    </w:p>
    <w:p w14:paraId="074A3BF0" w14:textId="77777777" w:rsidR="00711665" w:rsidRDefault="00711665">
      <w:pPr>
        <w:rPr>
          <w:rFonts w:ascii="Times New Roman" w:hAnsi="Times New Roman" w:cs="Times New Roman"/>
          <w:b/>
          <w:bCs/>
        </w:rPr>
      </w:pPr>
      <w:bookmarkStart w:id="2" w:name="results-and-discussion"/>
      <w:bookmarkEnd w:id="1"/>
      <w:r>
        <w:rPr>
          <w:rFonts w:ascii="Times New Roman" w:hAnsi="Times New Roman" w:cs="Times New Roman"/>
          <w:b/>
          <w:bCs/>
        </w:rPr>
        <w:br w:type="page"/>
      </w:r>
    </w:p>
    <w:p w14:paraId="1D4BD036" w14:textId="7BC5C2B7" w:rsidR="008F548D" w:rsidRPr="006E75F5" w:rsidRDefault="008F548D" w:rsidP="008F548D">
      <w:pPr>
        <w:spacing w:after="0" w:line="360" w:lineRule="auto"/>
        <w:rPr>
          <w:rFonts w:ascii="Times New Roman" w:hAnsi="Times New Roman" w:cs="Times New Roman"/>
          <w:b/>
          <w:bCs/>
        </w:rPr>
      </w:pPr>
      <w:r w:rsidRPr="006E75F5">
        <w:rPr>
          <w:rFonts w:ascii="Times New Roman" w:hAnsi="Times New Roman" w:cs="Times New Roman"/>
          <w:b/>
          <w:bCs/>
        </w:rPr>
        <w:lastRenderedPageBreak/>
        <w:t xml:space="preserve">Table 2: </w:t>
      </w:r>
      <w:r>
        <w:rPr>
          <w:rFonts w:ascii="Times New Roman" w:hAnsi="Times New Roman" w:cs="Times New Roman"/>
          <w:b/>
          <w:bCs/>
        </w:rPr>
        <w:t>The Harvest-</w:t>
      </w:r>
      <w:r w:rsidR="00BF50A5">
        <w:rPr>
          <w:rFonts w:ascii="Times New Roman" w:hAnsi="Times New Roman" w:cs="Times New Roman"/>
          <w:b/>
          <w:bCs/>
        </w:rPr>
        <w:t>T</w:t>
      </w:r>
      <w:r>
        <w:rPr>
          <w:rFonts w:ascii="Times New Roman" w:hAnsi="Times New Roman" w:cs="Times New Roman"/>
          <w:b/>
          <w:bCs/>
        </w:rPr>
        <w:t xml:space="preserve">ime </w:t>
      </w:r>
      <w:r w:rsidR="00711665">
        <w:rPr>
          <w:rFonts w:ascii="Times New Roman" w:hAnsi="Times New Roman" w:cs="Times New Roman"/>
          <w:b/>
          <w:bCs/>
        </w:rPr>
        <w:t>Violence and Protests</w:t>
      </w:r>
      <w:r>
        <w:rPr>
          <w:rFonts w:ascii="Times New Roman" w:hAnsi="Times New Roman" w:cs="Times New Roman"/>
          <w:b/>
          <w:bCs/>
        </w:rPr>
        <w:t xml:space="preserve"> </w:t>
      </w:r>
      <w:r w:rsidR="00711665">
        <w:rPr>
          <w:rFonts w:ascii="Times New Roman" w:hAnsi="Times New Roman" w:cs="Times New Roman"/>
          <w:b/>
          <w:bCs/>
        </w:rPr>
        <w:t>Conditional on Battles and Explosions</w:t>
      </w:r>
    </w:p>
    <w:tbl>
      <w:tblPr>
        <w:tblW w:w="6048" w:type="dxa"/>
        <w:jc w:val="center"/>
        <w:tblBorders>
          <w:top w:val="single" w:sz="4" w:space="0" w:color="auto"/>
          <w:bottom w:val="single" w:sz="4" w:space="0" w:color="auto"/>
        </w:tblBorders>
        <w:tblLayout w:type="fixed"/>
        <w:tblCellMar>
          <w:left w:w="72" w:type="dxa"/>
          <w:right w:w="72" w:type="dxa"/>
        </w:tblCellMar>
        <w:tblLook w:val="0420" w:firstRow="1" w:lastRow="0" w:firstColumn="0" w:lastColumn="0" w:noHBand="0" w:noVBand="1"/>
      </w:tblPr>
      <w:tblGrid>
        <w:gridCol w:w="3418"/>
        <w:gridCol w:w="1315"/>
        <w:gridCol w:w="1315"/>
      </w:tblGrid>
      <w:tr w:rsidR="00711665" w:rsidRPr="00711665" w14:paraId="0495BDEC" w14:textId="77777777" w:rsidTr="00711665">
        <w:trPr>
          <w:cantSplit/>
          <w:tblHeader/>
          <w:jc w:val="center"/>
        </w:trPr>
        <w:tc>
          <w:tcPr>
            <w:tcW w:w="374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5DF2" w14:textId="77777777" w:rsidR="00711665" w:rsidRPr="00711665" w:rsidRDefault="00711665" w:rsidP="009B2D3E">
            <w:pPr>
              <w:spacing w:after="0" w:line="360" w:lineRule="auto"/>
              <w:rPr>
                <w:rFonts w:ascii="Times New Roman" w:hAnsi="Times New Roman" w:cs="Times New Roman"/>
                <w:sz w:val="20"/>
                <w:szCs w:val="20"/>
              </w:rPr>
            </w:pP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ADF56E3" w14:textId="77777777" w:rsidR="00711665" w:rsidRPr="00711665" w:rsidRDefault="00711665" w:rsidP="009B2D3E">
            <w:pPr>
              <w:spacing w:after="0" w:line="360" w:lineRule="auto"/>
              <w:rPr>
                <w:rFonts w:ascii="Times New Roman" w:hAnsi="Times New Roman" w:cs="Times New Roman"/>
                <w:b/>
                <w:bCs/>
                <w:sz w:val="20"/>
                <w:szCs w:val="20"/>
              </w:rPr>
            </w:pPr>
            <w:r w:rsidRPr="00711665">
              <w:rPr>
                <w:rFonts w:ascii="Times New Roman" w:eastAsia="Arial" w:hAnsi="Times New Roman" w:cs="Times New Roman"/>
                <w:b/>
                <w:bCs/>
                <w:color w:val="000000"/>
                <w:sz w:val="20"/>
                <w:szCs w:val="20"/>
              </w:rPr>
              <w:t>Violence</w:t>
            </w:r>
          </w:p>
        </w:tc>
        <w:tc>
          <w:tcPr>
            <w:tcW w:w="1440"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5150A9F" w14:textId="77777777" w:rsidR="00711665" w:rsidRPr="00711665" w:rsidRDefault="00711665" w:rsidP="009B2D3E">
            <w:pPr>
              <w:spacing w:after="0" w:line="360" w:lineRule="auto"/>
              <w:rPr>
                <w:rFonts w:ascii="Times New Roman" w:hAnsi="Times New Roman" w:cs="Times New Roman"/>
                <w:b/>
                <w:bCs/>
                <w:sz w:val="20"/>
                <w:szCs w:val="20"/>
              </w:rPr>
            </w:pPr>
            <w:r w:rsidRPr="00711665">
              <w:rPr>
                <w:rFonts w:ascii="Times New Roman" w:eastAsia="Arial" w:hAnsi="Times New Roman" w:cs="Times New Roman"/>
                <w:b/>
                <w:bCs/>
                <w:color w:val="000000"/>
                <w:sz w:val="20"/>
                <w:szCs w:val="20"/>
              </w:rPr>
              <w:t>Protests</w:t>
            </w:r>
          </w:p>
        </w:tc>
      </w:tr>
      <w:tr w:rsidR="00711665" w:rsidRPr="00711665" w14:paraId="20733554"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tcPr>
          <w:p w14:paraId="7F6EC35E" w14:textId="1E5A7DC7" w:rsidR="00711665" w:rsidRPr="00711665" w:rsidRDefault="00711665" w:rsidP="00711665">
            <w:pPr>
              <w:spacing w:after="0" w:line="360" w:lineRule="auto"/>
              <w:ind w:firstLine="180"/>
              <w:rPr>
                <w:rFonts w:ascii="Times New Roman" w:hAnsi="Times New Roman" w:cs="Times New Roman"/>
                <w:sz w:val="20"/>
                <w:szCs w:val="20"/>
              </w:rPr>
            </w:pPr>
            <w:r w:rsidRPr="00711665">
              <w:rPr>
                <w:rFonts w:ascii="Times New Roman" w:hAnsi="Times New Roman" w:cs="Times New Roman"/>
                <w:sz w:val="20"/>
                <w:szCs w:val="20"/>
              </w:rPr>
              <w:t>Conflict</w:t>
            </w:r>
          </w:p>
        </w:tc>
        <w:tc>
          <w:tcPr>
            <w:tcW w:w="1440" w:type="dxa"/>
            <w:tcBorders>
              <w:top w:val="nil"/>
              <w:bottom w:val="nil"/>
            </w:tcBorders>
            <w:shd w:val="clear" w:color="auto" w:fill="FFFFFF"/>
            <w:tcMar>
              <w:top w:w="0" w:type="dxa"/>
              <w:left w:w="0" w:type="dxa"/>
              <w:bottom w:w="0" w:type="dxa"/>
              <w:right w:w="0" w:type="dxa"/>
            </w:tcMar>
          </w:tcPr>
          <w:p w14:paraId="5822C6B1" w14:textId="4056AC79"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0.199***</w:t>
            </w:r>
          </w:p>
        </w:tc>
        <w:tc>
          <w:tcPr>
            <w:tcW w:w="1440" w:type="dxa"/>
            <w:tcBorders>
              <w:top w:val="nil"/>
              <w:bottom w:val="nil"/>
            </w:tcBorders>
            <w:shd w:val="clear" w:color="auto" w:fill="FFFFFF"/>
            <w:tcMar>
              <w:top w:w="0" w:type="dxa"/>
              <w:left w:w="0" w:type="dxa"/>
              <w:bottom w:w="0" w:type="dxa"/>
              <w:right w:w="0" w:type="dxa"/>
            </w:tcMar>
          </w:tcPr>
          <w:p w14:paraId="492D4CA4" w14:textId="63E59CB6"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0.224**</w:t>
            </w:r>
          </w:p>
        </w:tc>
      </w:tr>
      <w:tr w:rsidR="00711665" w:rsidRPr="00711665" w14:paraId="70F57F7D"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tcPr>
          <w:p w14:paraId="09AD7AAF" w14:textId="18B61633" w:rsidR="00711665" w:rsidRPr="00711665" w:rsidRDefault="00711665" w:rsidP="00711665">
            <w:pPr>
              <w:spacing w:after="0" w:line="360" w:lineRule="auto"/>
              <w:ind w:firstLine="180"/>
              <w:rPr>
                <w:rFonts w:ascii="Times New Roman" w:hAnsi="Times New Roman" w:cs="Times New Roman"/>
                <w:sz w:val="20"/>
                <w:szCs w:val="20"/>
              </w:rPr>
            </w:pPr>
          </w:p>
        </w:tc>
        <w:tc>
          <w:tcPr>
            <w:tcW w:w="1440" w:type="dxa"/>
            <w:tcBorders>
              <w:top w:val="nil"/>
              <w:bottom w:val="nil"/>
            </w:tcBorders>
            <w:shd w:val="clear" w:color="auto" w:fill="FFFFFF"/>
            <w:tcMar>
              <w:top w:w="0" w:type="dxa"/>
              <w:left w:w="0" w:type="dxa"/>
              <w:bottom w:w="0" w:type="dxa"/>
              <w:right w:w="0" w:type="dxa"/>
            </w:tcMar>
          </w:tcPr>
          <w:p w14:paraId="5F4846FE" w14:textId="1987BCE5"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(0.035)</w:t>
            </w:r>
          </w:p>
        </w:tc>
        <w:tc>
          <w:tcPr>
            <w:tcW w:w="1440" w:type="dxa"/>
            <w:tcBorders>
              <w:top w:val="nil"/>
              <w:bottom w:val="nil"/>
            </w:tcBorders>
            <w:shd w:val="clear" w:color="auto" w:fill="FFFFFF"/>
            <w:tcMar>
              <w:top w:w="0" w:type="dxa"/>
              <w:left w:w="0" w:type="dxa"/>
              <w:bottom w:w="0" w:type="dxa"/>
              <w:right w:w="0" w:type="dxa"/>
            </w:tcMar>
          </w:tcPr>
          <w:p w14:paraId="72D859AF" w14:textId="07665DB5"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(0.104)</w:t>
            </w:r>
          </w:p>
        </w:tc>
      </w:tr>
      <w:tr w:rsidR="00711665" w:rsidRPr="00711665" w14:paraId="360038B0"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tcPr>
          <w:p w14:paraId="5A4CA6C9" w14:textId="432B2A43" w:rsidR="00711665" w:rsidRPr="00711665" w:rsidRDefault="00711665" w:rsidP="00711665">
            <w:pPr>
              <w:spacing w:after="0" w:line="360" w:lineRule="auto"/>
              <w:ind w:firstLine="180"/>
              <w:rPr>
                <w:rFonts w:ascii="Times New Roman" w:hAnsi="Times New Roman" w:cs="Times New Roman"/>
                <w:sz w:val="20"/>
                <w:szCs w:val="20"/>
              </w:rPr>
            </w:pPr>
            <w:r w:rsidRPr="00711665">
              <w:rPr>
                <w:rFonts w:ascii="Times New Roman" w:hAnsi="Times New Roman" w:cs="Times New Roman"/>
                <w:sz w:val="20"/>
                <w:szCs w:val="20"/>
              </w:rPr>
              <w:t>A</w:t>
            </w:r>
            <w:r w:rsidRPr="00711665">
              <w:rPr>
                <w:rFonts w:ascii="Times New Roman" w:hAnsi="Times New Roman" w:cs="Times New Roman"/>
                <w:sz w:val="20"/>
                <w:szCs w:val="20"/>
              </w:rPr>
              <w:t xml:space="preserve">rea × </w:t>
            </w:r>
            <w:r w:rsidRPr="00711665">
              <w:rPr>
                <w:rFonts w:ascii="Times New Roman" w:hAnsi="Times New Roman" w:cs="Times New Roman"/>
                <w:sz w:val="20"/>
                <w:szCs w:val="20"/>
              </w:rPr>
              <w:t>Harvest</w:t>
            </w:r>
          </w:p>
        </w:tc>
        <w:tc>
          <w:tcPr>
            <w:tcW w:w="1440" w:type="dxa"/>
            <w:tcBorders>
              <w:top w:val="nil"/>
              <w:bottom w:val="nil"/>
            </w:tcBorders>
            <w:shd w:val="clear" w:color="auto" w:fill="FFFFFF"/>
            <w:tcMar>
              <w:top w:w="0" w:type="dxa"/>
              <w:left w:w="0" w:type="dxa"/>
              <w:bottom w:w="0" w:type="dxa"/>
              <w:right w:w="0" w:type="dxa"/>
            </w:tcMar>
          </w:tcPr>
          <w:p w14:paraId="49A74A3B" w14:textId="4137DB5E"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0.007</w:t>
            </w:r>
          </w:p>
        </w:tc>
        <w:tc>
          <w:tcPr>
            <w:tcW w:w="1440" w:type="dxa"/>
            <w:tcBorders>
              <w:top w:val="nil"/>
              <w:bottom w:val="nil"/>
            </w:tcBorders>
            <w:shd w:val="clear" w:color="auto" w:fill="FFFFFF"/>
            <w:tcMar>
              <w:top w:w="0" w:type="dxa"/>
              <w:left w:w="0" w:type="dxa"/>
              <w:bottom w:w="0" w:type="dxa"/>
              <w:right w:w="0" w:type="dxa"/>
            </w:tcMar>
          </w:tcPr>
          <w:p w14:paraId="31D791C6" w14:textId="16E77DA4"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-0.091***</w:t>
            </w:r>
          </w:p>
        </w:tc>
      </w:tr>
      <w:tr w:rsidR="00711665" w:rsidRPr="00711665" w14:paraId="7FCA6DD0"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tcPr>
          <w:p w14:paraId="230AF5C0" w14:textId="5E99C406" w:rsidR="00711665" w:rsidRPr="00711665" w:rsidRDefault="00711665" w:rsidP="00711665">
            <w:pPr>
              <w:spacing w:after="0" w:line="360" w:lineRule="auto"/>
              <w:ind w:firstLine="180"/>
              <w:rPr>
                <w:rFonts w:ascii="Times New Roman" w:hAnsi="Times New Roman" w:cs="Times New Roman"/>
                <w:sz w:val="20"/>
                <w:szCs w:val="20"/>
              </w:rPr>
            </w:pPr>
          </w:p>
        </w:tc>
        <w:tc>
          <w:tcPr>
            <w:tcW w:w="1440" w:type="dxa"/>
            <w:tcBorders>
              <w:top w:val="nil"/>
              <w:bottom w:val="nil"/>
            </w:tcBorders>
            <w:shd w:val="clear" w:color="auto" w:fill="FFFFFF"/>
            <w:tcMar>
              <w:top w:w="0" w:type="dxa"/>
              <w:left w:w="0" w:type="dxa"/>
              <w:bottom w:w="0" w:type="dxa"/>
              <w:right w:w="0" w:type="dxa"/>
            </w:tcMar>
          </w:tcPr>
          <w:p w14:paraId="76828038" w14:textId="3412339C"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(0.007)</w:t>
            </w:r>
          </w:p>
        </w:tc>
        <w:tc>
          <w:tcPr>
            <w:tcW w:w="1440" w:type="dxa"/>
            <w:tcBorders>
              <w:top w:val="nil"/>
              <w:bottom w:val="nil"/>
            </w:tcBorders>
            <w:shd w:val="clear" w:color="auto" w:fill="FFFFFF"/>
            <w:tcMar>
              <w:top w:w="0" w:type="dxa"/>
              <w:left w:w="0" w:type="dxa"/>
              <w:bottom w:w="0" w:type="dxa"/>
              <w:right w:w="0" w:type="dxa"/>
            </w:tcMar>
          </w:tcPr>
          <w:p w14:paraId="077DCA66" w14:textId="3952AA35"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(0.033)</w:t>
            </w:r>
          </w:p>
        </w:tc>
      </w:tr>
      <w:tr w:rsidR="00711665" w:rsidRPr="00711665" w14:paraId="48F9F980"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tcPr>
          <w:p w14:paraId="25485E63" w14:textId="208C98DB" w:rsidR="00711665" w:rsidRPr="00711665" w:rsidRDefault="00711665" w:rsidP="00711665">
            <w:pPr>
              <w:spacing w:after="0" w:line="360" w:lineRule="auto"/>
              <w:ind w:firstLine="180"/>
              <w:rPr>
                <w:rFonts w:ascii="Times New Roman" w:hAnsi="Times New Roman" w:cs="Times New Roman"/>
                <w:sz w:val="20"/>
                <w:szCs w:val="20"/>
              </w:rPr>
            </w:pPr>
            <w:r w:rsidRPr="00711665">
              <w:rPr>
                <w:rFonts w:ascii="Times New Roman" w:hAnsi="Times New Roman" w:cs="Times New Roman"/>
                <w:sz w:val="20"/>
                <w:szCs w:val="20"/>
              </w:rPr>
              <w:t>A</w:t>
            </w:r>
            <w:r w:rsidRPr="00711665">
              <w:rPr>
                <w:rFonts w:ascii="Times New Roman" w:hAnsi="Times New Roman" w:cs="Times New Roman"/>
                <w:sz w:val="20"/>
                <w:szCs w:val="20"/>
              </w:rPr>
              <w:t xml:space="preserve">rea × </w:t>
            </w:r>
            <w:r w:rsidRPr="00711665">
              <w:rPr>
                <w:rFonts w:ascii="Times New Roman" w:hAnsi="Times New Roman" w:cs="Times New Roman"/>
                <w:sz w:val="20"/>
                <w:szCs w:val="20"/>
              </w:rPr>
              <w:t>Harvest</w:t>
            </w:r>
            <w:r w:rsidRPr="00711665">
              <w:rPr>
                <w:rFonts w:ascii="Times New Roman" w:hAnsi="Times New Roman" w:cs="Times New Roman"/>
                <w:sz w:val="20"/>
                <w:szCs w:val="20"/>
              </w:rPr>
              <w:t xml:space="preserve"> × Conflict</w:t>
            </w:r>
          </w:p>
        </w:tc>
        <w:tc>
          <w:tcPr>
            <w:tcW w:w="1440" w:type="dxa"/>
            <w:tcBorders>
              <w:top w:val="nil"/>
              <w:bottom w:val="nil"/>
            </w:tcBorders>
            <w:shd w:val="clear" w:color="auto" w:fill="FFFFFF"/>
            <w:tcMar>
              <w:top w:w="0" w:type="dxa"/>
              <w:left w:w="0" w:type="dxa"/>
              <w:bottom w:w="0" w:type="dxa"/>
              <w:right w:w="0" w:type="dxa"/>
            </w:tcMar>
          </w:tcPr>
          <w:p w14:paraId="6459CC49" w14:textId="163BA19C"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0.044***</w:t>
            </w:r>
          </w:p>
        </w:tc>
        <w:tc>
          <w:tcPr>
            <w:tcW w:w="1440" w:type="dxa"/>
            <w:tcBorders>
              <w:top w:val="nil"/>
              <w:bottom w:val="nil"/>
            </w:tcBorders>
            <w:shd w:val="clear" w:color="auto" w:fill="FFFFFF"/>
            <w:tcMar>
              <w:top w:w="0" w:type="dxa"/>
              <w:left w:w="0" w:type="dxa"/>
              <w:bottom w:w="0" w:type="dxa"/>
              <w:right w:w="0" w:type="dxa"/>
            </w:tcMar>
          </w:tcPr>
          <w:p w14:paraId="63FF01EE" w14:textId="08B39CFD"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0.025</w:t>
            </w:r>
          </w:p>
        </w:tc>
      </w:tr>
      <w:tr w:rsidR="00711665" w:rsidRPr="00711665" w14:paraId="0F009F1B" w14:textId="77777777" w:rsidTr="00711665">
        <w:trPr>
          <w:cantSplit/>
          <w:jc w:val="center"/>
        </w:trPr>
        <w:tc>
          <w:tcPr>
            <w:tcW w:w="3744" w:type="dxa"/>
            <w:tcBorders>
              <w:top w:val="nil"/>
            </w:tcBorders>
            <w:shd w:val="clear" w:color="auto" w:fill="FFFFFF"/>
            <w:tcMar>
              <w:top w:w="0" w:type="dxa"/>
              <w:left w:w="0" w:type="dxa"/>
              <w:bottom w:w="0" w:type="dxa"/>
              <w:right w:w="0" w:type="dxa"/>
            </w:tcMar>
          </w:tcPr>
          <w:p w14:paraId="7ED19E3F" w14:textId="62884359" w:rsidR="00711665" w:rsidRPr="00711665" w:rsidRDefault="00711665" w:rsidP="00711665">
            <w:pPr>
              <w:spacing w:after="0" w:line="360" w:lineRule="auto"/>
              <w:ind w:firstLine="180"/>
              <w:rPr>
                <w:rFonts w:ascii="Times New Roman" w:hAnsi="Times New Roman" w:cs="Times New Roman"/>
                <w:sz w:val="20"/>
                <w:szCs w:val="20"/>
              </w:rPr>
            </w:pPr>
          </w:p>
        </w:tc>
        <w:tc>
          <w:tcPr>
            <w:tcW w:w="1440" w:type="dxa"/>
            <w:tcBorders>
              <w:top w:val="nil"/>
              <w:bottom w:val="single" w:sz="4" w:space="0" w:color="auto"/>
            </w:tcBorders>
            <w:shd w:val="clear" w:color="auto" w:fill="FFFFFF"/>
            <w:tcMar>
              <w:top w:w="0" w:type="dxa"/>
              <w:left w:w="0" w:type="dxa"/>
              <w:bottom w:w="0" w:type="dxa"/>
              <w:right w:w="0" w:type="dxa"/>
            </w:tcMar>
          </w:tcPr>
          <w:p w14:paraId="500B650D" w14:textId="2E9FCA9D"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(0.013)</w:t>
            </w:r>
          </w:p>
        </w:tc>
        <w:tc>
          <w:tcPr>
            <w:tcW w:w="1440" w:type="dxa"/>
            <w:tcBorders>
              <w:top w:val="nil"/>
              <w:bottom w:val="single" w:sz="4" w:space="0" w:color="auto"/>
            </w:tcBorders>
            <w:shd w:val="clear" w:color="auto" w:fill="FFFFFF"/>
            <w:tcMar>
              <w:top w:w="0" w:type="dxa"/>
              <w:left w:w="0" w:type="dxa"/>
              <w:bottom w:w="0" w:type="dxa"/>
              <w:right w:w="0" w:type="dxa"/>
            </w:tcMar>
          </w:tcPr>
          <w:p w14:paraId="60308DE5" w14:textId="432CC80B"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(0.057)</w:t>
            </w:r>
          </w:p>
        </w:tc>
      </w:tr>
      <w:tr w:rsidR="00711665" w:rsidRPr="00711665" w14:paraId="2909D238" w14:textId="77777777" w:rsidTr="00711665">
        <w:trPr>
          <w:cantSplit/>
          <w:jc w:val="center"/>
        </w:trPr>
        <w:tc>
          <w:tcPr>
            <w:tcW w:w="3744" w:type="dxa"/>
            <w:shd w:val="clear" w:color="auto" w:fill="FFFFFF"/>
            <w:tcMar>
              <w:top w:w="0" w:type="dxa"/>
              <w:left w:w="0" w:type="dxa"/>
              <w:bottom w:w="0" w:type="dxa"/>
              <w:right w:w="0" w:type="dxa"/>
            </w:tcMar>
          </w:tcPr>
          <w:p w14:paraId="25E47B9E" w14:textId="77777777" w:rsidR="00711665" w:rsidRPr="00711665" w:rsidRDefault="00711665" w:rsidP="009B2D3E">
            <w:pPr>
              <w:spacing w:after="0" w:line="360" w:lineRule="auto"/>
              <w:rPr>
                <w:rFonts w:ascii="Times New Roman" w:hAnsi="Times New Roman" w:cs="Times New Roman"/>
                <w:sz w:val="20"/>
                <w:szCs w:val="20"/>
              </w:rPr>
            </w:pPr>
            <w:r w:rsidRPr="00711665">
              <w:rPr>
                <w:rFonts w:ascii="Times New Roman" w:hAnsi="Times New Roman" w:cs="Times New Roman"/>
                <w:sz w:val="20"/>
                <w:szCs w:val="20"/>
              </w:rPr>
              <w:t>Obs.</w:t>
            </w:r>
          </w:p>
        </w:tc>
        <w:tc>
          <w:tcPr>
            <w:tcW w:w="1440" w:type="dxa"/>
            <w:tcBorders>
              <w:top w:val="single" w:sz="4" w:space="0" w:color="auto"/>
            </w:tcBorders>
            <w:shd w:val="clear" w:color="auto" w:fill="FFFFFF"/>
            <w:tcMar>
              <w:top w:w="0" w:type="dxa"/>
              <w:left w:w="0" w:type="dxa"/>
              <w:bottom w:w="0" w:type="dxa"/>
              <w:right w:w="0" w:type="dxa"/>
            </w:tcMar>
          </w:tcPr>
          <w:p w14:paraId="2CA6EBEA"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37,764</w:t>
            </w:r>
          </w:p>
        </w:tc>
        <w:tc>
          <w:tcPr>
            <w:tcW w:w="1440" w:type="dxa"/>
            <w:tcBorders>
              <w:top w:val="single" w:sz="4" w:space="0" w:color="auto"/>
            </w:tcBorders>
            <w:shd w:val="clear" w:color="auto" w:fill="FFFFFF"/>
            <w:tcMar>
              <w:top w:w="0" w:type="dxa"/>
              <w:left w:w="0" w:type="dxa"/>
              <w:bottom w:w="0" w:type="dxa"/>
              <w:right w:w="0" w:type="dxa"/>
            </w:tcMar>
          </w:tcPr>
          <w:p w14:paraId="1AB543B5"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37,764</w:t>
            </w:r>
          </w:p>
        </w:tc>
      </w:tr>
      <w:tr w:rsidR="00711665" w:rsidRPr="00711665" w14:paraId="09D68F0F" w14:textId="77777777" w:rsidTr="00711665">
        <w:trPr>
          <w:cantSplit/>
          <w:jc w:val="center"/>
        </w:trPr>
        <w:tc>
          <w:tcPr>
            <w:tcW w:w="3744" w:type="dxa"/>
            <w:tcBorders>
              <w:bottom w:val="single" w:sz="4" w:space="0" w:color="auto"/>
            </w:tcBorders>
            <w:shd w:val="clear" w:color="auto" w:fill="FFFFFF"/>
            <w:tcMar>
              <w:top w:w="0" w:type="dxa"/>
              <w:left w:w="0" w:type="dxa"/>
              <w:bottom w:w="0" w:type="dxa"/>
              <w:right w:w="0" w:type="dxa"/>
            </w:tcMar>
          </w:tcPr>
          <w:p w14:paraId="78D28435" w14:textId="77777777" w:rsidR="00711665" w:rsidRPr="00711665" w:rsidRDefault="00711665" w:rsidP="009B2D3E">
            <w:pPr>
              <w:spacing w:after="0" w:line="360" w:lineRule="auto"/>
              <w:rPr>
                <w:rFonts w:ascii="Times New Roman" w:hAnsi="Times New Roman" w:cs="Times New Roman"/>
                <w:i/>
                <w:iCs/>
                <w:sz w:val="20"/>
                <w:szCs w:val="20"/>
              </w:rPr>
            </w:pPr>
            <w:r w:rsidRPr="00711665">
              <w:rPr>
                <w:rFonts w:ascii="Times New Roman" w:hAnsi="Times New Roman" w:cs="Times New Roman"/>
                <w:sz w:val="20"/>
                <w:szCs w:val="20"/>
              </w:rPr>
              <w:t>R2</w:t>
            </w:r>
          </w:p>
        </w:tc>
        <w:tc>
          <w:tcPr>
            <w:tcW w:w="1440" w:type="dxa"/>
            <w:tcBorders>
              <w:bottom w:val="single" w:sz="4" w:space="0" w:color="auto"/>
            </w:tcBorders>
            <w:shd w:val="clear" w:color="auto" w:fill="FFFFFF"/>
            <w:tcMar>
              <w:top w:w="0" w:type="dxa"/>
              <w:left w:w="0" w:type="dxa"/>
              <w:bottom w:w="0" w:type="dxa"/>
              <w:right w:w="0" w:type="dxa"/>
            </w:tcMar>
          </w:tcPr>
          <w:p w14:paraId="595902C0"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0.378</w:t>
            </w:r>
          </w:p>
        </w:tc>
        <w:tc>
          <w:tcPr>
            <w:tcW w:w="1440" w:type="dxa"/>
            <w:tcBorders>
              <w:bottom w:val="single" w:sz="4" w:space="0" w:color="auto"/>
            </w:tcBorders>
            <w:shd w:val="clear" w:color="auto" w:fill="FFFFFF"/>
            <w:tcMar>
              <w:top w:w="0" w:type="dxa"/>
              <w:left w:w="0" w:type="dxa"/>
              <w:bottom w:w="0" w:type="dxa"/>
              <w:right w:w="0" w:type="dxa"/>
            </w:tcMar>
          </w:tcPr>
          <w:p w14:paraId="46CB73E4"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0.211</w:t>
            </w:r>
          </w:p>
        </w:tc>
      </w:tr>
      <w:tr w:rsidR="00711665" w:rsidRPr="00711665" w14:paraId="43A97D5C"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vAlign w:val="center"/>
          </w:tcPr>
          <w:p w14:paraId="3D4085F5" w14:textId="77777777" w:rsidR="00711665" w:rsidRPr="00711665" w:rsidRDefault="00711665" w:rsidP="009B2D3E">
            <w:pPr>
              <w:spacing w:after="0" w:line="360" w:lineRule="auto"/>
              <w:ind w:left="180"/>
              <w:rPr>
                <w:rFonts w:ascii="Times New Roman" w:eastAsia="Arial" w:hAnsi="Times New Roman" w:cs="Times New Roman"/>
                <w:color w:val="000000"/>
                <w:sz w:val="20"/>
                <w:szCs w:val="20"/>
              </w:rPr>
            </w:pPr>
            <w:r w:rsidRPr="00711665">
              <w:rPr>
                <w:rFonts w:ascii="Times New Roman" w:eastAsia="Arial" w:hAnsi="Times New Roman" w:cs="Times New Roman"/>
                <w:color w:val="000000"/>
                <w:sz w:val="20"/>
                <w:szCs w:val="20"/>
              </w:rPr>
              <w:t>Baseline conflict</w:t>
            </w:r>
          </w:p>
        </w:tc>
        <w:tc>
          <w:tcPr>
            <w:tcW w:w="1440" w:type="dxa"/>
            <w:tcBorders>
              <w:top w:val="nil"/>
              <w:bottom w:val="nil"/>
            </w:tcBorders>
            <w:shd w:val="clear" w:color="auto" w:fill="FFFFFF"/>
            <w:tcMar>
              <w:top w:w="0" w:type="dxa"/>
              <w:left w:w="0" w:type="dxa"/>
              <w:bottom w:w="0" w:type="dxa"/>
              <w:right w:w="0" w:type="dxa"/>
            </w:tcMar>
          </w:tcPr>
          <w:p w14:paraId="54C53F4B" w14:textId="78750345" w:rsidR="00711665" w:rsidRPr="00711665" w:rsidRDefault="00711665" w:rsidP="009B2D3E">
            <w:pPr>
              <w:spacing w:after="0" w:line="360" w:lineRule="auto"/>
              <w:ind w:right="12" w:firstLine="90"/>
              <w:rPr>
                <w:rFonts w:ascii="Times New Roman" w:eastAsia="Arial" w:hAnsi="Times New Roman" w:cs="Times New Roman"/>
                <w:color w:val="000000"/>
                <w:sz w:val="20"/>
                <w:szCs w:val="20"/>
              </w:rPr>
            </w:pPr>
            <w:r w:rsidRPr="00711665">
              <w:rPr>
                <w:rFonts w:ascii="Times New Roman" w:hAnsi="Times New Roman" w:cs="Times New Roman"/>
                <w:sz w:val="20"/>
                <w:szCs w:val="20"/>
              </w:rPr>
              <w:t>0.35</w:t>
            </w:r>
          </w:p>
        </w:tc>
        <w:tc>
          <w:tcPr>
            <w:tcW w:w="1440" w:type="dxa"/>
            <w:tcBorders>
              <w:top w:val="nil"/>
              <w:bottom w:val="nil"/>
            </w:tcBorders>
            <w:shd w:val="clear" w:color="auto" w:fill="FFFFFF"/>
            <w:tcMar>
              <w:top w:w="0" w:type="dxa"/>
              <w:left w:w="0" w:type="dxa"/>
              <w:bottom w:w="0" w:type="dxa"/>
              <w:right w:w="0" w:type="dxa"/>
            </w:tcMar>
          </w:tcPr>
          <w:p w14:paraId="2E1A0C72" w14:textId="77777777" w:rsidR="00711665" w:rsidRPr="00711665" w:rsidRDefault="00711665" w:rsidP="009B2D3E">
            <w:pPr>
              <w:spacing w:after="0" w:line="360" w:lineRule="auto"/>
              <w:ind w:right="12" w:firstLine="90"/>
              <w:rPr>
                <w:rFonts w:ascii="Times New Roman" w:eastAsia="Arial" w:hAnsi="Times New Roman" w:cs="Times New Roman"/>
                <w:color w:val="000000"/>
                <w:sz w:val="20"/>
                <w:szCs w:val="20"/>
              </w:rPr>
            </w:pPr>
            <w:r w:rsidRPr="00711665">
              <w:rPr>
                <w:rFonts w:ascii="Times New Roman" w:hAnsi="Times New Roman" w:cs="Times New Roman"/>
                <w:sz w:val="20"/>
                <w:szCs w:val="20"/>
              </w:rPr>
              <w:t>0.54</w:t>
            </w:r>
          </w:p>
        </w:tc>
      </w:tr>
      <w:tr w:rsidR="00711665" w:rsidRPr="00711665" w14:paraId="4D896789" w14:textId="77777777" w:rsidTr="00711665">
        <w:trPr>
          <w:cantSplit/>
          <w:jc w:val="center"/>
        </w:trPr>
        <w:tc>
          <w:tcPr>
            <w:tcW w:w="3744" w:type="dxa"/>
            <w:tcBorders>
              <w:top w:val="nil"/>
              <w:bottom w:val="single" w:sz="4" w:space="0" w:color="auto"/>
            </w:tcBorders>
            <w:shd w:val="clear" w:color="auto" w:fill="FFFFFF"/>
            <w:tcMar>
              <w:top w:w="0" w:type="dxa"/>
              <w:left w:w="0" w:type="dxa"/>
              <w:bottom w:w="0" w:type="dxa"/>
              <w:right w:w="0" w:type="dxa"/>
            </w:tcMar>
            <w:vAlign w:val="center"/>
          </w:tcPr>
          <w:p w14:paraId="583B0FB5" w14:textId="77777777" w:rsidR="00711665" w:rsidRPr="00711665" w:rsidRDefault="00711665" w:rsidP="009B2D3E">
            <w:pPr>
              <w:spacing w:after="0" w:line="360" w:lineRule="auto"/>
              <w:ind w:left="180"/>
              <w:rPr>
                <w:rFonts w:ascii="Times New Roman" w:eastAsia="Arial" w:hAnsi="Times New Roman" w:cs="Times New Roman"/>
                <w:color w:val="000000"/>
                <w:sz w:val="20"/>
                <w:szCs w:val="20"/>
              </w:rPr>
            </w:pPr>
            <w:r w:rsidRPr="00711665">
              <w:rPr>
                <w:rFonts w:ascii="Times New Roman" w:eastAsia="Arial" w:hAnsi="Times New Roman" w:cs="Times New Roman"/>
                <w:color w:val="000000"/>
                <w:sz w:val="20"/>
                <w:szCs w:val="20"/>
              </w:rPr>
              <w:t>Area harvested</w:t>
            </w:r>
          </w:p>
        </w:tc>
        <w:tc>
          <w:tcPr>
            <w:tcW w:w="1440" w:type="dxa"/>
            <w:tcBorders>
              <w:top w:val="nil"/>
              <w:bottom w:val="single" w:sz="4" w:space="0" w:color="auto"/>
            </w:tcBorders>
            <w:shd w:val="clear" w:color="auto" w:fill="FFFFFF"/>
            <w:tcMar>
              <w:top w:w="0" w:type="dxa"/>
              <w:left w:w="0" w:type="dxa"/>
              <w:bottom w:w="0" w:type="dxa"/>
              <w:right w:w="0" w:type="dxa"/>
            </w:tcMar>
          </w:tcPr>
          <w:p w14:paraId="323AD27E"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0.98</w:t>
            </w:r>
          </w:p>
        </w:tc>
        <w:tc>
          <w:tcPr>
            <w:tcW w:w="1440" w:type="dxa"/>
            <w:tcBorders>
              <w:top w:val="nil"/>
              <w:bottom w:val="single" w:sz="4" w:space="0" w:color="auto"/>
            </w:tcBorders>
            <w:shd w:val="clear" w:color="auto" w:fill="FFFFFF"/>
            <w:tcMar>
              <w:top w:w="0" w:type="dxa"/>
              <w:left w:w="0" w:type="dxa"/>
              <w:bottom w:w="0" w:type="dxa"/>
              <w:right w:w="0" w:type="dxa"/>
            </w:tcMar>
          </w:tcPr>
          <w:p w14:paraId="15A9EBFD" w14:textId="77777777" w:rsidR="00711665" w:rsidRPr="00711665" w:rsidRDefault="00711665" w:rsidP="009B2D3E">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0.98</w:t>
            </w:r>
          </w:p>
        </w:tc>
      </w:tr>
      <w:tr w:rsidR="00711665" w:rsidRPr="00711665" w14:paraId="1A60EAF3" w14:textId="77777777" w:rsidTr="00711665">
        <w:trPr>
          <w:cantSplit/>
          <w:jc w:val="center"/>
        </w:trPr>
        <w:tc>
          <w:tcPr>
            <w:tcW w:w="1440" w:type="dxa"/>
            <w:gridSpan w:val="3"/>
            <w:tcBorders>
              <w:top w:val="nil"/>
              <w:bottom w:val="nil"/>
            </w:tcBorders>
            <w:shd w:val="clear" w:color="auto" w:fill="FFFFFF"/>
            <w:tcMar>
              <w:top w:w="0" w:type="dxa"/>
              <w:left w:w="0" w:type="dxa"/>
              <w:bottom w:w="0" w:type="dxa"/>
              <w:right w:w="0" w:type="dxa"/>
            </w:tcMar>
            <w:vAlign w:val="center"/>
          </w:tcPr>
          <w:p w14:paraId="0448578A" w14:textId="5DD2AED4" w:rsidR="00711665" w:rsidRPr="00711665" w:rsidRDefault="00711665" w:rsidP="00711665">
            <w:pPr>
              <w:spacing w:after="0" w:line="360" w:lineRule="auto"/>
              <w:ind w:right="12"/>
              <w:rPr>
                <w:rFonts w:ascii="Times New Roman" w:hAnsi="Times New Roman" w:cs="Times New Roman"/>
                <w:sz w:val="20"/>
                <w:szCs w:val="20"/>
              </w:rPr>
            </w:pPr>
            <w:r w:rsidRPr="00711665">
              <w:rPr>
                <w:rFonts w:ascii="Times New Roman" w:hAnsi="Times New Roman" w:cs="Times New Roman"/>
                <w:sz w:val="20"/>
                <w:szCs w:val="20"/>
              </w:rPr>
              <w:t>When there are no battles and explosions</w:t>
            </w:r>
          </w:p>
        </w:tc>
      </w:tr>
      <w:tr w:rsidR="00711665" w:rsidRPr="00711665" w14:paraId="40D6E474"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vAlign w:val="center"/>
          </w:tcPr>
          <w:p w14:paraId="3D638B30" w14:textId="5F3A93A2" w:rsidR="00711665" w:rsidRPr="00711665" w:rsidRDefault="00711665" w:rsidP="00711665">
            <w:pPr>
              <w:spacing w:after="0" w:line="360" w:lineRule="auto"/>
              <w:ind w:firstLine="180"/>
              <w:rPr>
                <w:rFonts w:ascii="Times New Roman" w:eastAsia="Arial" w:hAnsi="Times New Roman" w:cs="Times New Roman"/>
                <w:color w:val="000000"/>
                <w:sz w:val="20"/>
                <w:szCs w:val="20"/>
              </w:rPr>
            </w:pPr>
            <w:r w:rsidRPr="00711665">
              <w:rPr>
                <w:rFonts w:ascii="Times New Roman" w:eastAsia="Arial" w:hAnsi="Times New Roman" w:cs="Times New Roman"/>
                <w:color w:val="000000"/>
                <w:sz w:val="20"/>
                <w:szCs w:val="20"/>
              </w:rPr>
              <w:t>Harvest (%)</w:t>
            </w:r>
          </w:p>
        </w:tc>
        <w:tc>
          <w:tcPr>
            <w:tcW w:w="1440" w:type="dxa"/>
            <w:tcBorders>
              <w:top w:val="nil"/>
              <w:bottom w:val="nil"/>
            </w:tcBorders>
            <w:shd w:val="clear" w:color="auto" w:fill="FFFFFF"/>
            <w:tcMar>
              <w:top w:w="0" w:type="dxa"/>
              <w:left w:w="0" w:type="dxa"/>
              <w:bottom w:w="0" w:type="dxa"/>
              <w:right w:w="0" w:type="dxa"/>
            </w:tcMar>
          </w:tcPr>
          <w:p w14:paraId="2EDF7526" w14:textId="20C7ADC4"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1.9</w:t>
            </w:r>
          </w:p>
        </w:tc>
        <w:tc>
          <w:tcPr>
            <w:tcW w:w="1440" w:type="dxa"/>
            <w:tcBorders>
              <w:top w:val="nil"/>
              <w:bottom w:val="nil"/>
            </w:tcBorders>
            <w:shd w:val="clear" w:color="auto" w:fill="FFFFFF"/>
            <w:tcMar>
              <w:top w:w="0" w:type="dxa"/>
              <w:left w:w="0" w:type="dxa"/>
              <w:bottom w:w="0" w:type="dxa"/>
              <w:right w:w="0" w:type="dxa"/>
            </w:tcMar>
          </w:tcPr>
          <w:p w14:paraId="4D9DFBEF" w14:textId="77528D90"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-16.4***</w:t>
            </w:r>
          </w:p>
        </w:tc>
      </w:tr>
      <w:tr w:rsidR="00711665" w:rsidRPr="00711665" w14:paraId="5F707294"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vAlign w:val="center"/>
          </w:tcPr>
          <w:p w14:paraId="5089216E" w14:textId="77777777" w:rsidR="00711665" w:rsidRPr="00711665" w:rsidRDefault="00711665" w:rsidP="00711665">
            <w:pPr>
              <w:spacing w:after="0" w:line="360" w:lineRule="auto"/>
              <w:ind w:firstLine="180"/>
              <w:rPr>
                <w:rFonts w:ascii="Times New Roman" w:eastAsia="Arial" w:hAnsi="Times New Roman" w:cs="Times New Roman"/>
                <w:color w:val="000000"/>
                <w:sz w:val="20"/>
                <w:szCs w:val="20"/>
              </w:rPr>
            </w:pPr>
          </w:p>
        </w:tc>
        <w:tc>
          <w:tcPr>
            <w:tcW w:w="1440" w:type="dxa"/>
            <w:tcBorders>
              <w:top w:val="nil"/>
              <w:bottom w:val="nil"/>
            </w:tcBorders>
            <w:shd w:val="clear" w:color="auto" w:fill="FFFFFF"/>
            <w:tcMar>
              <w:top w:w="0" w:type="dxa"/>
              <w:left w:w="0" w:type="dxa"/>
              <w:bottom w:w="0" w:type="dxa"/>
              <w:right w:w="0" w:type="dxa"/>
            </w:tcMar>
          </w:tcPr>
          <w:p w14:paraId="37D4532E" w14:textId="350DC892"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(2.0)</w:t>
            </w:r>
          </w:p>
        </w:tc>
        <w:tc>
          <w:tcPr>
            <w:tcW w:w="1440" w:type="dxa"/>
            <w:tcBorders>
              <w:top w:val="nil"/>
              <w:bottom w:val="nil"/>
            </w:tcBorders>
            <w:shd w:val="clear" w:color="auto" w:fill="FFFFFF"/>
            <w:tcMar>
              <w:top w:w="0" w:type="dxa"/>
              <w:left w:w="0" w:type="dxa"/>
              <w:bottom w:w="0" w:type="dxa"/>
              <w:right w:w="0" w:type="dxa"/>
            </w:tcMar>
          </w:tcPr>
          <w:p w14:paraId="6787CA80" w14:textId="6CD45B3C"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(6.0)</w:t>
            </w:r>
          </w:p>
        </w:tc>
      </w:tr>
      <w:tr w:rsidR="00711665" w:rsidRPr="00711665" w14:paraId="2B5ABBEC" w14:textId="77777777" w:rsidTr="00711665">
        <w:trPr>
          <w:cantSplit/>
          <w:jc w:val="center"/>
        </w:trPr>
        <w:tc>
          <w:tcPr>
            <w:tcW w:w="1440" w:type="dxa"/>
            <w:gridSpan w:val="3"/>
            <w:tcBorders>
              <w:top w:val="nil"/>
              <w:bottom w:val="nil"/>
            </w:tcBorders>
            <w:shd w:val="clear" w:color="auto" w:fill="FFFFFF"/>
            <w:tcMar>
              <w:top w:w="0" w:type="dxa"/>
              <w:left w:w="0" w:type="dxa"/>
              <w:bottom w:w="0" w:type="dxa"/>
              <w:right w:w="0" w:type="dxa"/>
            </w:tcMar>
            <w:vAlign w:val="center"/>
          </w:tcPr>
          <w:p w14:paraId="4390F6D9" w14:textId="38824623" w:rsidR="00711665" w:rsidRPr="00711665" w:rsidRDefault="00711665" w:rsidP="00711665">
            <w:pPr>
              <w:spacing w:after="0" w:line="360" w:lineRule="auto"/>
              <w:ind w:right="12"/>
              <w:rPr>
                <w:rFonts w:ascii="Times New Roman" w:hAnsi="Times New Roman" w:cs="Times New Roman"/>
                <w:sz w:val="20"/>
                <w:szCs w:val="20"/>
              </w:rPr>
            </w:pPr>
            <w:r w:rsidRPr="00711665">
              <w:rPr>
                <w:rFonts w:ascii="Times New Roman" w:hAnsi="Times New Roman" w:cs="Times New Roman"/>
                <w:sz w:val="20"/>
                <w:szCs w:val="20"/>
              </w:rPr>
              <w:t>At (historical) average battles and explosions</w:t>
            </w:r>
          </w:p>
        </w:tc>
      </w:tr>
      <w:tr w:rsidR="00711665" w:rsidRPr="00711665" w14:paraId="3A3D3717" w14:textId="77777777" w:rsidTr="00711665">
        <w:trPr>
          <w:cantSplit/>
          <w:jc w:val="center"/>
        </w:trPr>
        <w:tc>
          <w:tcPr>
            <w:tcW w:w="3744" w:type="dxa"/>
            <w:tcBorders>
              <w:top w:val="nil"/>
              <w:bottom w:val="nil"/>
            </w:tcBorders>
            <w:shd w:val="clear" w:color="auto" w:fill="FFFFFF"/>
            <w:tcMar>
              <w:top w:w="0" w:type="dxa"/>
              <w:left w:w="0" w:type="dxa"/>
              <w:bottom w:w="0" w:type="dxa"/>
              <w:right w:w="0" w:type="dxa"/>
            </w:tcMar>
            <w:vAlign w:val="center"/>
          </w:tcPr>
          <w:p w14:paraId="4F8C6486" w14:textId="0500BD07" w:rsidR="00711665" w:rsidRPr="00711665" w:rsidRDefault="00711665" w:rsidP="00711665">
            <w:pPr>
              <w:spacing w:after="0" w:line="360" w:lineRule="auto"/>
              <w:ind w:firstLine="180"/>
              <w:rPr>
                <w:rFonts w:ascii="Times New Roman" w:eastAsia="Arial" w:hAnsi="Times New Roman" w:cs="Times New Roman"/>
                <w:color w:val="000000"/>
                <w:sz w:val="20"/>
                <w:szCs w:val="20"/>
              </w:rPr>
            </w:pPr>
            <w:r w:rsidRPr="00711665">
              <w:rPr>
                <w:rFonts w:ascii="Times New Roman" w:eastAsia="Arial" w:hAnsi="Times New Roman" w:cs="Times New Roman"/>
                <w:color w:val="000000"/>
                <w:sz w:val="20"/>
                <w:szCs w:val="20"/>
              </w:rPr>
              <w:t>Harvest (%)</w:t>
            </w:r>
          </w:p>
        </w:tc>
        <w:tc>
          <w:tcPr>
            <w:tcW w:w="1440" w:type="dxa"/>
            <w:tcBorders>
              <w:top w:val="nil"/>
              <w:bottom w:val="nil"/>
            </w:tcBorders>
            <w:shd w:val="clear" w:color="auto" w:fill="FFFFFF"/>
            <w:tcMar>
              <w:top w:w="0" w:type="dxa"/>
              <w:left w:w="0" w:type="dxa"/>
              <w:bottom w:w="0" w:type="dxa"/>
              <w:right w:w="0" w:type="dxa"/>
            </w:tcMar>
          </w:tcPr>
          <w:p w14:paraId="57F9510E" w14:textId="197C85B5"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7.8***</w:t>
            </w:r>
          </w:p>
        </w:tc>
        <w:tc>
          <w:tcPr>
            <w:tcW w:w="1440" w:type="dxa"/>
            <w:tcBorders>
              <w:top w:val="nil"/>
              <w:bottom w:val="nil"/>
            </w:tcBorders>
            <w:shd w:val="clear" w:color="auto" w:fill="FFFFFF"/>
            <w:tcMar>
              <w:top w:w="0" w:type="dxa"/>
              <w:left w:w="0" w:type="dxa"/>
              <w:bottom w:w="0" w:type="dxa"/>
              <w:right w:w="0" w:type="dxa"/>
            </w:tcMar>
          </w:tcPr>
          <w:p w14:paraId="12A760E7" w14:textId="592231DE" w:rsidR="00711665" w:rsidRPr="00711665" w:rsidRDefault="00711665" w:rsidP="00711665">
            <w:pPr>
              <w:spacing w:after="0" w:line="360" w:lineRule="auto"/>
              <w:ind w:right="12" w:firstLine="90"/>
              <w:rPr>
                <w:rFonts w:ascii="Times New Roman" w:hAnsi="Times New Roman" w:cs="Times New Roman"/>
                <w:sz w:val="20"/>
                <w:szCs w:val="20"/>
              </w:rPr>
            </w:pPr>
            <w:r w:rsidRPr="00711665">
              <w:rPr>
                <w:rFonts w:ascii="Times New Roman" w:hAnsi="Times New Roman" w:cs="Times New Roman"/>
                <w:sz w:val="20"/>
                <w:szCs w:val="20"/>
              </w:rPr>
              <w:t>-14.2**</w:t>
            </w:r>
          </w:p>
        </w:tc>
      </w:tr>
      <w:tr w:rsidR="00711665" w:rsidRPr="00711665" w14:paraId="132B21BF" w14:textId="77777777" w:rsidTr="00711665">
        <w:trPr>
          <w:cantSplit/>
          <w:jc w:val="center"/>
        </w:trPr>
        <w:tc>
          <w:tcPr>
            <w:tcW w:w="3744" w:type="dxa"/>
            <w:tcBorders>
              <w:top w:val="nil"/>
              <w:bottom w:val="single" w:sz="4" w:space="0" w:color="auto"/>
            </w:tcBorders>
            <w:shd w:val="clear" w:color="auto" w:fill="FFFFFF"/>
            <w:tcMar>
              <w:top w:w="0" w:type="dxa"/>
              <w:left w:w="0" w:type="dxa"/>
              <w:bottom w:w="0" w:type="dxa"/>
              <w:right w:w="0" w:type="dxa"/>
            </w:tcMar>
            <w:vAlign w:val="center"/>
          </w:tcPr>
          <w:p w14:paraId="13221AF6" w14:textId="77777777" w:rsidR="00711665" w:rsidRPr="00711665" w:rsidRDefault="00711665" w:rsidP="00711665">
            <w:pPr>
              <w:spacing w:after="0" w:line="360" w:lineRule="auto"/>
              <w:ind w:firstLine="180"/>
              <w:rPr>
                <w:rFonts w:ascii="Times New Roman" w:eastAsia="Arial" w:hAnsi="Times New Roman" w:cs="Times New Roman"/>
                <w:color w:val="000000"/>
                <w:sz w:val="20"/>
                <w:szCs w:val="20"/>
              </w:rPr>
            </w:pPr>
          </w:p>
        </w:tc>
        <w:tc>
          <w:tcPr>
            <w:tcW w:w="1440" w:type="dxa"/>
            <w:tcBorders>
              <w:top w:val="nil"/>
              <w:bottom w:val="single" w:sz="4" w:space="0" w:color="auto"/>
            </w:tcBorders>
            <w:shd w:val="clear" w:color="auto" w:fill="FFFFFF"/>
            <w:tcMar>
              <w:top w:w="0" w:type="dxa"/>
              <w:left w:w="0" w:type="dxa"/>
              <w:bottom w:w="0" w:type="dxa"/>
              <w:right w:w="0" w:type="dxa"/>
            </w:tcMar>
          </w:tcPr>
          <w:p w14:paraId="1FE25CAC" w14:textId="0FDFE592" w:rsidR="00711665" w:rsidRPr="00711665" w:rsidRDefault="00711665" w:rsidP="00711665">
            <w:pPr>
              <w:spacing w:after="0" w:line="360" w:lineRule="auto"/>
              <w:ind w:right="12" w:firstLine="90"/>
              <w:rPr>
                <w:rFonts w:ascii="Times New Roman" w:eastAsia="Arial" w:hAnsi="Times New Roman" w:cs="Times New Roman"/>
                <w:color w:val="000000"/>
                <w:sz w:val="20"/>
                <w:szCs w:val="20"/>
              </w:rPr>
            </w:pPr>
            <w:r w:rsidRPr="00711665">
              <w:rPr>
                <w:rFonts w:ascii="Times New Roman" w:hAnsi="Times New Roman" w:cs="Times New Roman"/>
                <w:sz w:val="20"/>
                <w:szCs w:val="20"/>
              </w:rPr>
              <w:t>(1.9)</w:t>
            </w:r>
          </w:p>
        </w:tc>
        <w:tc>
          <w:tcPr>
            <w:tcW w:w="1440" w:type="dxa"/>
            <w:tcBorders>
              <w:top w:val="nil"/>
              <w:bottom w:val="single" w:sz="4" w:space="0" w:color="auto"/>
            </w:tcBorders>
            <w:shd w:val="clear" w:color="auto" w:fill="FFFFFF"/>
            <w:tcMar>
              <w:top w:w="0" w:type="dxa"/>
              <w:left w:w="0" w:type="dxa"/>
              <w:bottom w:w="0" w:type="dxa"/>
              <w:right w:w="0" w:type="dxa"/>
            </w:tcMar>
          </w:tcPr>
          <w:p w14:paraId="4A09E835" w14:textId="1B76D64D" w:rsidR="00711665" w:rsidRPr="00711665" w:rsidRDefault="00711665" w:rsidP="00711665">
            <w:pPr>
              <w:spacing w:after="0" w:line="360" w:lineRule="auto"/>
              <w:ind w:right="12" w:firstLine="90"/>
              <w:rPr>
                <w:rFonts w:ascii="Times New Roman" w:eastAsia="Arial" w:hAnsi="Times New Roman" w:cs="Times New Roman"/>
                <w:color w:val="000000"/>
                <w:sz w:val="20"/>
                <w:szCs w:val="20"/>
              </w:rPr>
            </w:pPr>
            <w:r w:rsidRPr="00711665">
              <w:rPr>
                <w:rFonts w:ascii="Times New Roman" w:hAnsi="Times New Roman" w:cs="Times New Roman"/>
                <w:sz w:val="20"/>
                <w:szCs w:val="20"/>
              </w:rPr>
              <w:t>(7.1)</w:t>
            </w:r>
          </w:p>
        </w:tc>
      </w:tr>
    </w:tbl>
    <w:p w14:paraId="78BA4F8F" w14:textId="17EF2F91" w:rsidR="008F548D" w:rsidRPr="00B47423" w:rsidRDefault="008F548D" w:rsidP="008F548D">
      <w:pPr>
        <w:spacing w:after="240" w:line="276" w:lineRule="auto"/>
        <w:rPr>
          <w:rFonts w:ascii="Times New Roman" w:hAnsi="Times New Roman" w:cs="Times New Roman"/>
          <w:sz w:val="20"/>
          <w:szCs w:val="20"/>
        </w:rPr>
      </w:pPr>
      <w:r w:rsidRPr="00B47423">
        <w:rPr>
          <w:rFonts w:ascii="Times New Roman" w:hAnsi="Times New Roman" w:cs="Times New Roman"/>
          <w:sz w:val="20"/>
          <w:szCs w:val="20"/>
        </w:rPr>
        <w:t xml:space="preserve">Note: the </w:t>
      </w:r>
      <w:r>
        <w:rPr>
          <w:rFonts w:ascii="Times New Roman" w:hAnsi="Times New Roman" w:cs="Times New Roman"/>
          <w:sz w:val="20"/>
          <w:szCs w:val="20"/>
        </w:rPr>
        <w:t>outcome</w:t>
      </w:r>
      <w:r w:rsidRPr="00B47423">
        <w:rPr>
          <w:rFonts w:ascii="Times New Roman" w:hAnsi="Times New Roman" w:cs="Times New Roman"/>
          <w:sz w:val="20"/>
          <w:szCs w:val="20"/>
        </w:rPr>
        <w:t xml:space="preserve"> variable is a </w:t>
      </w:r>
      <w:r>
        <w:rPr>
          <w:rFonts w:ascii="Times New Roman" w:hAnsi="Times New Roman" w:cs="Times New Roman"/>
          <w:sz w:val="20"/>
          <w:szCs w:val="20"/>
        </w:rPr>
        <w:t>count</w:t>
      </w:r>
      <w:r w:rsidRPr="00B47423">
        <w:rPr>
          <w:rFonts w:ascii="Times New Roman" w:hAnsi="Times New Roman" w:cs="Times New Roman"/>
          <w:sz w:val="20"/>
          <w:szCs w:val="20"/>
        </w:rPr>
        <w:t xml:space="preserve"> variable that depicts the </w:t>
      </w:r>
      <w:r>
        <w:rPr>
          <w:rFonts w:ascii="Times New Roman" w:hAnsi="Times New Roman" w:cs="Times New Roman"/>
          <w:sz w:val="20"/>
          <w:szCs w:val="20"/>
        </w:rPr>
        <w:t>number of incidents in a cell during a year-month</w:t>
      </w:r>
      <w:r w:rsidRPr="00B47423">
        <w:rPr>
          <w:rFonts w:ascii="Times New Roman" w:hAnsi="Times New Roman" w:cs="Times New Roman"/>
          <w:sz w:val="20"/>
          <w:szCs w:val="20"/>
        </w:rPr>
        <w:t xml:space="preserve">; </w:t>
      </w:r>
      <w:r>
        <w:rPr>
          <w:rFonts w:ascii="Times New Roman" w:hAnsi="Times New Roman" w:cs="Times New Roman"/>
          <w:sz w:val="20"/>
          <w:szCs w:val="20"/>
        </w:rPr>
        <w:t>the treatment variable</w:t>
      </w:r>
      <w:r w:rsidRPr="00B47423">
        <w:rPr>
          <w:rFonts w:ascii="Times New Roman" w:hAnsi="Times New Roman" w:cs="Times New Roman"/>
          <w:sz w:val="20"/>
          <w:szCs w:val="20"/>
        </w:rPr>
        <w:t xml:space="preserve"> </w:t>
      </w:r>
      <w:r>
        <w:rPr>
          <w:rFonts w:ascii="Times New Roman" w:hAnsi="Times New Roman" w:cs="Times New Roman"/>
          <w:sz w:val="20"/>
          <w:szCs w:val="20"/>
        </w:rPr>
        <w:t xml:space="preserve">is the cropland </w:t>
      </w:r>
      <w:r w:rsidRPr="00B47423">
        <w:rPr>
          <w:rFonts w:ascii="Times New Roman" w:hAnsi="Times New Roman" w:cs="Times New Roman"/>
          <w:sz w:val="20"/>
          <w:szCs w:val="20"/>
        </w:rPr>
        <w:t xml:space="preserve">area </w:t>
      </w:r>
      <w:r>
        <w:rPr>
          <w:rFonts w:ascii="Times New Roman" w:hAnsi="Times New Roman" w:cs="Times New Roman"/>
          <w:sz w:val="20"/>
          <w:szCs w:val="20"/>
        </w:rPr>
        <w:t xml:space="preserve">(100,000 hectares) interacted with the harvest-season binary variables, which varies across locations (see Figure 2); ‘Conflict’ </w:t>
      </w:r>
      <w:r w:rsidR="00711665">
        <w:rPr>
          <w:rFonts w:ascii="Times New Roman" w:hAnsi="Times New Roman" w:cs="Times New Roman"/>
          <w:sz w:val="20"/>
          <w:szCs w:val="20"/>
        </w:rPr>
        <w:t>denotes the sum of incidents recorded as battles and explosions</w:t>
      </w:r>
      <w:r>
        <w:rPr>
          <w:rFonts w:ascii="Times New Roman" w:hAnsi="Times New Roman" w:cs="Times New Roman"/>
          <w:sz w:val="20"/>
          <w:szCs w:val="20"/>
        </w:rPr>
        <w:t xml:space="preserve">; </w:t>
      </w:r>
      <w:r w:rsidRPr="00B47423">
        <w:rPr>
          <w:rFonts w:ascii="Times New Roman" w:hAnsi="Times New Roman" w:cs="Times New Roman"/>
          <w:sz w:val="20"/>
          <w:szCs w:val="20"/>
        </w:rPr>
        <w:t>all regressions include cell and year</w:t>
      </w:r>
      <w:r>
        <w:rPr>
          <w:rFonts w:ascii="Times New Roman" w:hAnsi="Times New Roman" w:cs="Times New Roman"/>
          <w:sz w:val="20"/>
          <w:szCs w:val="20"/>
        </w:rPr>
        <w:t>-month</w:t>
      </w:r>
      <w:r w:rsidRPr="00B47423">
        <w:rPr>
          <w:rFonts w:ascii="Times New Roman" w:hAnsi="Times New Roman" w:cs="Times New Roman"/>
          <w:sz w:val="20"/>
          <w:szCs w:val="20"/>
        </w:rPr>
        <w:t xml:space="preserve"> fixed effects; the values in parentheses are standard errors adjusted to clustering at the level of a cell; ***, **, and * denote 0.01, 0.05, and 0.10 statistical significance levels.</w:t>
      </w:r>
      <w:r>
        <w:rPr>
          <w:rFonts w:ascii="Times New Roman" w:hAnsi="Times New Roman" w:cs="Times New Roman"/>
          <w:sz w:val="20"/>
          <w:szCs w:val="20"/>
        </w:rPr>
        <w:t xml:space="preserve"> The magnitudes of the effect, presented in percentage terms, are calculated as:  </w:t>
      </w:r>
      <m:oMath>
        <m:r>
          <w:rPr>
            <w:rFonts w:ascii="Cambria Math" w:eastAsiaTheme="minorEastAsia" w:hAnsi="Cambria Math" w:cs="Times New Roman"/>
            <w:sz w:val="20"/>
            <w:szCs w:val="20"/>
          </w:rPr>
          <m:t>100%×</m:t>
        </m:r>
        <m:acc>
          <m:accPr>
            <m:ctrlPr>
              <w:rPr>
                <w:rFonts w:ascii="Cambria Math" w:hAnsi="Cambria Math" w:cs="Times New Roman"/>
                <w:i/>
                <w:sz w:val="20"/>
                <w:szCs w:val="20"/>
              </w:rPr>
            </m:ctrlPr>
          </m:accPr>
          <m:e>
            <m:r>
              <w:rPr>
                <w:rFonts w:ascii="Cambria Math" w:hAnsi="Cambria Math" w:cs="Times New Roman"/>
                <w:sz w:val="20"/>
                <w:szCs w:val="20"/>
              </w:rPr>
              <m:t>β</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r>
          <w:rPr>
            <w:rFonts w:ascii="Cambria Math" w:eastAsiaTheme="minorEastAsia" w:hAnsi="Cambria Math" w:cs="Times New Roman"/>
            <w:sz w:val="20"/>
            <w:szCs w:val="20"/>
          </w:rPr>
          <m:t>/</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where </w:t>
      </w:r>
      <m:oMath>
        <m:acc>
          <m:accPr>
            <m:ctrlPr>
              <w:rPr>
                <w:rFonts w:ascii="Cambria Math" w:hAnsi="Cambria Math" w:cs="Times New Roman"/>
                <w:i/>
                <w:sz w:val="20"/>
                <w:szCs w:val="20"/>
              </w:rPr>
            </m:ctrlPr>
          </m:accPr>
          <m:e>
            <m:r>
              <w:rPr>
                <w:rFonts w:ascii="Cambria Math" w:hAnsi="Cambria Math" w:cs="Times New Roman"/>
                <w:sz w:val="20"/>
                <w:szCs w:val="20"/>
              </w:rPr>
              <m:t>β</m:t>
            </m:r>
          </m:e>
        </m:acc>
      </m:oMath>
      <w:r>
        <w:rPr>
          <w:rFonts w:ascii="Times New Roman" w:eastAsiaTheme="minorEastAsia" w:hAnsi="Times New Roman" w:cs="Times New Roman"/>
          <w:sz w:val="20"/>
          <w:szCs w:val="20"/>
        </w:rPr>
        <w:t xml:space="preserve"> is the parameter estimate,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s</m:t>
            </m:r>
          </m:e>
        </m:acc>
      </m:oMath>
      <w:r>
        <w:rPr>
          <w:rFonts w:ascii="Times New Roman" w:eastAsiaTheme="minorEastAsia" w:hAnsi="Times New Roman" w:cs="Times New Roman"/>
          <w:sz w:val="20"/>
          <w:szCs w:val="20"/>
        </w:rPr>
        <w:t xml:space="preserve"> is the average cropland area harvested, and </w:t>
      </w:r>
      <m:oMath>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oMath>
      <w:r>
        <w:rPr>
          <w:rFonts w:ascii="Times New Roman" w:eastAsiaTheme="minorEastAsia" w:hAnsi="Times New Roman" w:cs="Times New Roman"/>
          <w:sz w:val="20"/>
          <w:szCs w:val="20"/>
        </w:rPr>
        <w:t xml:space="preserve"> is the baseline conflict, which is the monthly average of incidents of a given conflict type.</w:t>
      </w:r>
      <w:bookmarkEnd w:id="0"/>
      <w:bookmarkEnd w:id="2"/>
    </w:p>
    <w:sectPr w:rsidR="008F548D" w:rsidRPr="00B47423">
      <w:footerReference w:type="default" r:id="rId9"/>
      <w:footnotePr>
        <w:numFmt w:val="chicago"/>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754E" w14:textId="77777777" w:rsidR="007B183B" w:rsidRDefault="007B183B">
      <w:pPr>
        <w:spacing w:after="0"/>
      </w:pPr>
      <w:r>
        <w:separator/>
      </w:r>
    </w:p>
  </w:endnote>
  <w:endnote w:type="continuationSeparator" w:id="0">
    <w:p w14:paraId="054D5C37" w14:textId="77777777" w:rsidR="007B183B" w:rsidRDefault="007B18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4735263"/>
      <w:docPartObj>
        <w:docPartGallery w:val="Page Numbers (Bottom of Page)"/>
        <w:docPartUnique/>
      </w:docPartObj>
    </w:sdtPr>
    <w:sdtEndPr>
      <w:rPr>
        <w:noProof/>
      </w:rPr>
    </w:sdtEndPr>
    <w:sdtContent>
      <w:p w14:paraId="6DE638F9" w14:textId="388E53E6" w:rsidR="0079736B" w:rsidRDefault="00797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110FB" w14:textId="77777777" w:rsidR="0079736B" w:rsidRDefault="0079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17855" w14:textId="77777777" w:rsidR="007B183B" w:rsidRDefault="007B183B">
      <w:r>
        <w:separator/>
      </w:r>
    </w:p>
  </w:footnote>
  <w:footnote w:type="continuationSeparator" w:id="0">
    <w:p w14:paraId="574A8D78" w14:textId="77777777" w:rsidR="007B183B" w:rsidRDefault="007B18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2842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1205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60D6"/>
    <w:rsid w:val="00003943"/>
    <w:rsid w:val="00017C34"/>
    <w:rsid w:val="00032504"/>
    <w:rsid w:val="00037E5A"/>
    <w:rsid w:val="00043879"/>
    <w:rsid w:val="0005126F"/>
    <w:rsid w:val="00060F68"/>
    <w:rsid w:val="00064170"/>
    <w:rsid w:val="00093F55"/>
    <w:rsid w:val="000A1FC6"/>
    <w:rsid w:val="000A37A3"/>
    <w:rsid w:val="000A3E5B"/>
    <w:rsid w:val="001050A5"/>
    <w:rsid w:val="001327E1"/>
    <w:rsid w:val="0014057E"/>
    <w:rsid w:val="001534B5"/>
    <w:rsid w:val="00167BD8"/>
    <w:rsid w:val="001A20D1"/>
    <w:rsid w:val="001A6F2C"/>
    <w:rsid w:val="001B10B0"/>
    <w:rsid w:val="001C60D6"/>
    <w:rsid w:val="001D0D51"/>
    <w:rsid w:val="001F7CA1"/>
    <w:rsid w:val="00211073"/>
    <w:rsid w:val="00220CD3"/>
    <w:rsid w:val="00220DDC"/>
    <w:rsid w:val="00225282"/>
    <w:rsid w:val="002452C9"/>
    <w:rsid w:val="00271127"/>
    <w:rsid w:val="002A69B1"/>
    <w:rsid w:val="002C1A02"/>
    <w:rsid w:val="002F7116"/>
    <w:rsid w:val="003816E0"/>
    <w:rsid w:val="00386DB4"/>
    <w:rsid w:val="00393C6E"/>
    <w:rsid w:val="003B61FE"/>
    <w:rsid w:val="003B6F37"/>
    <w:rsid w:val="003C27F3"/>
    <w:rsid w:val="003C71CB"/>
    <w:rsid w:val="003D606A"/>
    <w:rsid w:val="003D741B"/>
    <w:rsid w:val="003E35DC"/>
    <w:rsid w:val="003E660A"/>
    <w:rsid w:val="00424CCD"/>
    <w:rsid w:val="00444785"/>
    <w:rsid w:val="00446593"/>
    <w:rsid w:val="004517F5"/>
    <w:rsid w:val="00462306"/>
    <w:rsid w:val="00484FE1"/>
    <w:rsid w:val="004A4494"/>
    <w:rsid w:val="004A48E6"/>
    <w:rsid w:val="004A74FE"/>
    <w:rsid w:val="004B5A30"/>
    <w:rsid w:val="004C30DC"/>
    <w:rsid w:val="004E4C08"/>
    <w:rsid w:val="00515D63"/>
    <w:rsid w:val="00540F7E"/>
    <w:rsid w:val="0057594E"/>
    <w:rsid w:val="00584989"/>
    <w:rsid w:val="00586164"/>
    <w:rsid w:val="00587FFB"/>
    <w:rsid w:val="00593B8B"/>
    <w:rsid w:val="005A614D"/>
    <w:rsid w:val="005C30C2"/>
    <w:rsid w:val="005D100D"/>
    <w:rsid w:val="005F6BDC"/>
    <w:rsid w:val="00611E80"/>
    <w:rsid w:val="006409F4"/>
    <w:rsid w:val="006443BD"/>
    <w:rsid w:val="00667726"/>
    <w:rsid w:val="00674AF1"/>
    <w:rsid w:val="00676401"/>
    <w:rsid w:val="006C4523"/>
    <w:rsid w:val="006D22B7"/>
    <w:rsid w:val="006D62FC"/>
    <w:rsid w:val="006D7BD4"/>
    <w:rsid w:val="006E0BD1"/>
    <w:rsid w:val="006E75F5"/>
    <w:rsid w:val="00711665"/>
    <w:rsid w:val="0071235F"/>
    <w:rsid w:val="00722F80"/>
    <w:rsid w:val="007562E1"/>
    <w:rsid w:val="00784EE6"/>
    <w:rsid w:val="00790B6D"/>
    <w:rsid w:val="0079736B"/>
    <w:rsid w:val="007B183B"/>
    <w:rsid w:val="007B2395"/>
    <w:rsid w:val="00807A2F"/>
    <w:rsid w:val="00840899"/>
    <w:rsid w:val="00843118"/>
    <w:rsid w:val="00853E74"/>
    <w:rsid w:val="008561E9"/>
    <w:rsid w:val="00857B03"/>
    <w:rsid w:val="008623AF"/>
    <w:rsid w:val="00872F4F"/>
    <w:rsid w:val="008863A7"/>
    <w:rsid w:val="00887CCD"/>
    <w:rsid w:val="008C536B"/>
    <w:rsid w:val="008E29FE"/>
    <w:rsid w:val="008F4F8E"/>
    <w:rsid w:val="008F548D"/>
    <w:rsid w:val="00913557"/>
    <w:rsid w:val="00913B1D"/>
    <w:rsid w:val="00931650"/>
    <w:rsid w:val="009429B3"/>
    <w:rsid w:val="00942EB4"/>
    <w:rsid w:val="00956538"/>
    <w:rsid w:val="00970548"/>
    <w:rsid w:val="00984574"/>
    <w:rsid w:val="00994977"/>
    <w:rsid w:val="00994D75"/>
    <w:rsid w:val="0099584C"/>
    <w:rsid w:val="009B6147"/>
    <w:rsid w:val="009C77C8"/>
    <w:rsid w:val="009E7561"/>
    <w:rsid w:val="009F0490"/>
    <w:rsid w:val="009F7C53"/>
    <w:rsid w:val="00A154EC"/>
    <w:rsid w:val="00A32CC4"/>
    <w:rsid w:val="00A45ADD"/>
    <w:rsid w:val="00A84783"/>
    <w:rsid w:val="00A8675A"/>
    <w:rsid w:val="00AC6E65"/>
    <w:rsid w:val="00AD2F1F"/>
    <w:rsid w:val="00B13111"/>
    <w:rsid w:val="00B14213"/>
    <w:rsid w:val="00B42B17"/>
    <w:rsid w:val="00B47423"/>
    <w:rsid w:val="00BA7A21"/>
    <w:rsid w:val="00BD3570"/>
    <w:rsid w:val="00BF50A5"/>
    <w:rsid w:val="00C37EC3"/>
    <w:rsid w:val="00C5345E"/>
    <w:rsid w:val="00C60739"/>
    <w:rsid w:val="00C92836"/>
    <w:rsid w:val="00CD7508"/>
    <w:rsid w:val="00CE629C"/>
    <w:rsid w:val="00D03C04"/>
    <w:rsid w:val="00D10528"/>
    <w:rsid w:val="00D31908"/>
    <w:rsid w:val="00D42460"/>
    <w:rsid w:val="00D44DF0"/>
    <w:rsid w:val="00D64282"/>
    <w:rsid w:val="00D7739E"/>
    <w:rsid w:val="00D778C7"/>
    <w:rsid w:val="00D95AF6"/>
    <w:rsid w:val="00DB173A"/>
    <w:rsid w:val="00DE7241"/>
    <w:rsid w:val="00DE7FE4"/>
    <w:rsid w:val="00DF73A6"/>
    <w:rsid w:val="00E05E4B"/>
    <w:rsid w:val="00E40625"/>
    <w:rsid w:val="00E448EB"/>
    <w:rsid w:val="00E5563A"/>
    <w:rsid w:val="00E85F87"/>
    <w:rsid w:val="00E94349"/>
    <w:rsid w:val="00EA580E"/>
    <w:rsid w:val="00EB3D7A"/>
    <w:rsid w:val="00EB44DB"/>
    <w:rsid w:val="00EE32F8"/>
    <w:rsid w:val="00EF14C3"/>
    <w:rsid w:val="00F033F9"/>
    <w:rsid w:val="00F25162"/>
    <w:rsid w:val="00F54D6A"/>
    <w:rsid w:val="00F65AB2"/>
    <w:rsid w:val="00FB630D"/>
    <w:rsid w:val="00FC5238"/>
    <w:rsid w:val="00FD5AF1"/>
    <w:rsid w:val="00FE0D75"/>
    <w:rsid w:val="00FE1C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4B27"/>
  <w15:docId w15:val="{DC36837D-7A6C-4C5B-B2B0-776FABD0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887CCD"/>
    <w:pPr>
      <w:ind w:left="720"/>
      <w:contextualSpacing/>
    </w:pPr>
  </w:style>
  <w:style w:type="character" w:styleId="PlaceholderText">
    <w:name w:val="Placeholder Text"/>
    <w:basedOn w:val="DefaultParagraphFont"/>
    <w:semiHidden/>
    <w:rsid w:val="001A20D1"/>
    <w:rPr>
      <w:color w:val="808080"/>
    </w:rPr>
  </w:style>
  <w:style w:type="character" w:styleId="UnresolvedMention">
    <w:name w:val="Unresolved Mention"/>
    <w:basedOn w:val="DefaultParagraphFont"/>
    <w:uiPriority w:val="99"/>
    <w:semiHidden/>
    <w:unhideWhenUsed/>
    <w:rsid w:val="001A6F2C"/>
    <w:rPr>
      <w:color w:val="605E5C"/>
      <w:shd w:val="clear" w:color="auto" w:fill="E1DFDD"/>
    </w:rPr>
  </w:style>
  <w:style w:type="table" w:styleId="TableGrid">
    <w:name w:val="Table Grid"/>
    <w:basedOn w:val="TableNormal"/>
    <w:rsid w:val="00D1052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064170"/>
    <w:rPr>
      <w:sz w:val="16"/>
      <w:szCs w:val="16"/>
    </w:rPr>
  </w:style>
  <w:style w:type="paragraph" w:styleId="CommentText">
    <w:name w:val="annotation text"/>
    <w:basedOn w:val="Normal"/>
    <w:link w:val="CommentTextChar"/>
    <w:unhideWhenUsed/>
    <w:rsid w:val="00064170"/>
    <w:rPr>
      <w:sz w:val="20"/>
      <w:szCs w:val="20"/>
    </w:rPr>
  </w:style>
  <w:style w:type="character" w:customStyle="1" w:styleId="CommentTextChar">
    <w:name w:val="Comment Text Char"/>
    <w:basedOn w:val="DefaultParagraphFont"/>
    <w:link w:val="CommentText"/>
    <w:rsid w:val="00064170"/>
    <w:rPr>
      <w:sz w:val="20"/>
      <w:szCs w:val="20"/>
    </w:rPr>
  </w:style>
  <w:style w:type="paragraph" w:styleId="CommentSubject">
    <w:name w:val="annotation subject"/>
    <w:basedOn w:val="CommentText"/>
    <w:next w:val="CommentText"/>
    <w:link w:val="CommentSubjectChar"/>
    <w:semiHidden/>
    <w:unhideWhenUsed/>
    <w:rsid w:val="00064170"/>
    <w:rPr>
      <w:b/>
      <w:bCs/>
    </w:rPr>
  </w:style>
  <w:style w:type="character" w:customStyle="1" w:styleId="CommentSubjectChar">
    <w:name w:val="Comment Subject Char"/>
    <w:basedOn w:val="CommentTextChar"/>
    <w:link w:val="CommentSubject"/>
    <w:semiHidden/>
    <w:rsid w:val="00064170"/>
    <w:rPr>
      <w:b/>
      <w:bCs/>
      <w:sz w:val="20"/>
      <w:szCs w:val="20"/>
    </w:rPr>
  </w:style>
  <w:style w:type="paragraph" w:styleId="Header">
    <w:name w:val="header"/>
    <w:basedOn w:val="Normal"/>
    <w:link w:val="HeaderChar"/>
    <w:unhideWhenUsed/>
    <w:rsid w:val="0079736B"/>
    <w:pPr>
      <w:tabs>
        <w:tab w:val="center" w:pos="4513"/>
        <w:tab w:val="right" w:pos="9026"/>
      </w:tabs>
      <w:spacing w:after="0"/>
    </w:pPr>
  </w:style>
  <w:style w:type="character" w:customStyle="1" w:styleId="HeaderChar">
    <w:name w:val="Header Char"/>
    <w:basedOn w:val="DefaultParagraphFont"/>
    <w:link w:val="Header"/>
    <w:rsid w:val="0079736B"/>
  </w:style>
  <w:style w:type="paragraph" w:styleId="Footer">
    <w:name w:val="footer"/>
    <w:basedOn w:val="Normal"/>
    <w:link w:val="FooterChar"/>
    <w:uiPriority w:val="99"/>
    <w:unhideWhenUsed/>
    <w:rsid w:val="0079736B"/>
    <w:pPr>
      <w:tabs>
        <w:tab w:val="center" w:pos="4513"/>
        <w:tab w:val="right" w:pos="9026"/>
      </w:tabs>
      <w:spacing w:after="0"/>
    </w:pPr>
  </w:style>
  <w:style w:type="character" w:customStyle="1" w:styleId="FooterChar">
    <w:name w:val="Footer Char"/>
    <w:basedOn w:val="DefaultParagraphFont"/>
    <w:link w:val="Footer"/>
    <w:uiPriority w:val="99"/>
    <w:rsid w:val="0079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5BA2-9D65-415C-AD73-12D45DD3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Agricultural Shocks and Social Unrest in Southeast Asia</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Shocks and Social Unrest in Southeast Asia</dc:title>
  <dc:creator>David Ubilava; Justin Hastings</dc:creator>
  <cp:keywords/>
  <cp:lastModifiedBy>David Ubilava</cp:lastModifiedBy>
  <cp:revision>3</cp:revision>
  <dcterms:created xsi:type="dcterms:W3CDTF">2022-11-28T02:19:00Z</dcterms:created>
  <dcterms:modified xsi:type="dcterms:W3CDTF">2022-11-28T02:30:00Z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September 2022</vt:lpwstr>
  </property>
  <property fmtid="{D5CDD505-2E9C-101B-9397-08002B2CF9AE}" pid="3" name="output">
    <vt:lpwstr/>
  </property>
</Properties>
</file>