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A8F2" w14:textId="1357527C" w:rsidR="001C60D6" w:rsidRPr="00994977" w:rsidRDefault="00000000" w:rsidP="00887CCD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4977">
        <w:rPr>
          <w:rFonts w:ascii="Times New Roman" w:hAnsi="Times New Roman" w:cs="Times New Roman"/>
          <w:b/>
          <w:bCs/>
          <w:sz w:val="32"/>
          <w:szCs w:val="32"/>
        </w:rPr>
        <w:t>Agricultural Shocks and Social Unrest in Southeast Asia</w:t>
      </w:r>
      <w:r w:rsidR="00220DDC" w:rsidRPr="00994977">
        <w:rPr>
          <w:rStyle w:val="FootnoteReference"/>
          <w:rFonts w:ascii="Times New Roman" w:hAnsi="Times New Roman" w:cs="Times New Roman"/>
          <w:b/>
          <w:bCs/>
          <w:sz w:val="32"/>
          <w:szCs w:val="32"/>
        </w:rPr>
        <w:footnoteReference w:id="1"/>
      </w:r>
    </w:p>
    <w:p w14:paraId="6FDB7963" w14:textId="307C1661" w:rsidR="001C60D6" w:rsidRPr="00994977" w:rsidRDefault="00220DDC" w:rsidP="00887CC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4977">
        <w:rPr>
          <w:rFonts w:ascii="Times New Roman" w:hAnsi="Times New Roman" w:cs="Times New Roman"/>
          <w:sz w:val="28"/>
          <w:szCs w:val="28"/>
        </w:rPr>
        <w:t>Justin Hastings</w:t>
      </w:r>
      <w:r w:rsidRPr="00994977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Pr="00994977">
        <w:rPr>
          <w:rFonts w:ascii="Times New Roman" w:hAnsi="Times New Roman" w:cs="Times New Roman"/>
          <w:sz w:val="28"/>
          <w:szCs w:val="28"/>
        </w:rPr>
        <w:t xml:space="preserve"> </w:t>
      </w:r>
      <w:r w:rsidRPr="00994977">
        <w:rPr>
          <w:rFonts w:ascii="Times New Roman" w:hAnsi="Times New Roman" w:cs="Times New Roman"/>
          <w:sz w:val="28"/>
          <w:szCs w:val="28"/>
        </w:rPr>
        <w:tab/>
      </w:r>
      <w:r w:rsidRPr="00994977">
        <w:rPr>
          <w:rFonts w:ascii="Times New Roman" w:hAnsi="Times New Roman" w:cs="Times New Roman"/>
          <w:sz w:val="28"/>
          <w:szCs w:val="28"/>
        </w:rPr>
        <w:tab/>
        <w:t>David Ubilava</w:t>
      </w:r>
      <w:r w:rsidRPr="00994977">
        <w:rPr>
          <w:rStyle w:val="FootnoteReference"/>
          <w:rFonts w:ascii="Times New Roman" w:hAnsi="Times New Roman" w:cs="Times New Roman"/>
          <w:sz w:val="28"/>
          <w:szCs w:val="28"/>
        </w:rPr>
        <w:footnoteReference w:id="3"/>
      </w:r>
    </w:p>
    <w:p w14:paraId="51CCC360" w14:textId="31B01A38" w:rsidR="001C60D6" w:rsidRPr="00994977" w:rsidRDefault="00887CCD" w:rsidP="00994977">
      <w:pPr>
        <w:spacing w:after="120" w:line="360" w:lineRule="auto"/>
        <w:jc w:val="center"/>
        <w:rPr>
          <w:rFonts w:ascii="Times New Roman" w:hAnsi="Times New Roman" w:cs="Times New Roman"/>
          <w:i/>
          <w:iCs/>
        </w:rPr>
      </w:pPr>
      <w:r w:rsidRPr="00994977">
        <w:rPr>
          <w:rFonts w:ascii="Times New Roman" w:hAnsi="Times New Roman" w:cs="Times New Roman"/>
          <w:i/>
          <w:iCs/>
        </w:rPr>
        <w:t xml:space="preserve">This Draft: </w:t>
      </w:r>
      <w:r w:rsidR="0057594E">
        <w:rPr>
          <w:rFonts w:ascii="Times New Roman" w:hAnsi="Times New Roman" w:cs="Times New Roman"/>
          <w:i/>
          <w:iCs/>
        </w:rPr>
        <w:t>5</w:t>
      </w:r>
      <w:r w:rsidRPr="00994977">
        <w:rPr>
          <w:rFonts w:ascii="Times New Roman" w:hAnsi="Times New Roman" w:cs="Times New Roman"/>
          <w:i/>
          <w:iCs/>
        </w:rPr>
        <w:t xml:space="preserve"> </w:t>
      </w:r>
      <w:r w:rsidR="0057594E">
        <w:rPr>
          <w:rFonts w:ascii="Times New Roman" w:hAnsi="Times New Roman" w:cs="Times New Roman"/>
          <w:i/>
          <w:iCs/>
        </w:rPr>
        <w:t>October</w:t>
      </w:r>
      <w:r w:rsidRPr="00994977">
        <w:rPr>
          <w:rFonts w:ascii="Times New Roman" w:hAnsi="Times New Roman" w:cs="Times New Roman"/>
          <w:i/>
          <w:iCs/>
        </w:rPr>
        <w:t xml:space="preserve"> 2022</w:t>
      </w:r>
    </w:p>
    <w:p w14:paraId="157FBA35" w14:textId="77777777" w:rsid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  <w:bookmarkStart w:id="0" w:name="abstract"/>
    </w:p>
    <w:p w14:paraId="37700FD2" w14:textId="7B89A30B" w:rsidR="001C60D6" w:rsidRPr="00994977" w:rsidRDefault="00000000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77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A40C54B" w14:textId="77777777" w:rsidR="00887CCD" w:rsidRP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7216D210" w14:textId="77777777" w:rsidR="00887CCD" w:rsidRDefault="00887CCD">
      <w:pPr>
        <w:rPr>
          <w:rFonts w:ascii="Times New Roman" w:hAnsi="Times New Roman" w:cs="Times New Roman"/>
        </w:rPr>
      </w:pPr>
      <w:bookmarkStart w:id="1" w:name="introduction"/>
      <w:bookmarkEnd w:id="0"/>
      <w:r>
        <w:rPr>
          <w:rFonts w:ascii="Times New Roman" w:hAnsi="Times New Roman" w:cs="Times New Roman"/>
        </w:rPr>
        <w:br w:type="page"/>
      </w:r>
    </w:p>
    <w:p w14:paraId="611BABE0" w14:textId="5530EFEF" w:rsidR="001C60D6" w:rsidRPr="00994977" w:rsidRDefault="00887CCD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7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14:paraId="5E1B0DC6" w14:textId="51C1BE77" w:rsidR="00887CCD" w:rsidRDefault="00887CCD">
      <w:pPr>
        <w:rPr>
          <w:rFonts w:ascii="Times New Roman" w:hAnsi="Times New Roman" w:cs="Times New Roman"/>
        </w:rPr>
      </w:pPr>
      <w:bookmarkStart w:id="2" w:name="background-and-data"/>
      <w:bookmarkEnd w:id="1"/>
    </w:p>
    <w:p w14:paraId="5ABA8002" w14:textId="42E1D916" w:rsidR="00887CCD" w:rsidRPr="00994977" w:rsidRDefault="00887CCD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77">
        <w:rPr>
          <w:rFonts w:ascii="Times New Roman" w:hAnsi="Times New Roman" w:cs="Times New Roman"/>
          <w:b/>
          <w:bCs/>
          <w:sz w:val="28"/>
          <w:szCs w:val="28"/>
        </w:rPr>
        <w:t>2. Background and Data</w:t>
      </w:r>
    </w:p>
    <w:p w14:paraId="23194BA2" w14:textId="2F40910C" w:rsidR="001C60D6" w:rsidRPr="00887CCD" w:rsidRDefault="00887CCD" w:rsidP="00887CCD">
      <w:pPr>
        <w:spacing w:after="120" w:line="360" w:lineRule="auto"/>
        <w:rPr>
          <w:rFonts w:ascii="Times New Roman" w:hAnsi="Times New Roman" w:cs="Times New Roman"/>
          <w:i/>
          <w:iCs/>
        </w:rPr>
      </w:pPr>
      <w:bookmarkStart w:id="3" w:name="conflict"/>
      <w:r>
        <w:rPr>
          <w:rFonts w:ascii="Times New Roman" w:hAnsi="Times New Roman" w:cs="Times New Roman"/>
          <w:i/>
          <w:iCs/>
        </w:rPr>
        <w:t xml:space="preserve">2.1. </w:t>
      </w:r>
      <w:r w:rsidRPr="00887CCD">
        <w:rPr>
          <w:rFonts w:ascii="Times New Roman" w:hAnsi="Times New Roman" w:cs="Times New Roman"/>
          <w:i/>
          <w:iCs/>
        </w:rPr>
        <w:t>Conflict</w:t>
      </w:r>
    </w:p>
    <w:p w14:paraId="1C7748EA" w14:textId="332F6074" w:rsidR="001C60D6" w:rsidRDefault="00593B8B" w:rsidP="00D95AF6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social unrest w</w:t>
      </w:r>
      <w:r w:rsidRPr="00887CCD">
        <w:rPr>
          <w:rFonts w:ascii="Times New Roman" w:hAnsi="Times New Roman" w:cs="Times New Roman"/>
        </w:rPr>
        <w:t xml:space="preserve">e use the Armed Conflict Location &amp; Event Data (ACLED) </w:t>
      </w:r>
      <w:r>
        <w:rPr>
          <w:rFonts w:ascii="Times New Roman" w:hAnsi="Times New Roman" w:cs="Times New Roman"/>
        </w:rPr>
        <w:t xml:space="preserve">compiled by </w:t>
      </w:r>
      <w:r w:rsidRPr="00887CCD">
        <w:rPr>
          <w:rFonts w:ascii="Times New Roman" w:hAnsi="Times New Roman" w:cs="Times New Roman"/>
        </w:rPr>
        <w:t xml:space="preserve">Raleigh et al. </w:t>
      </w:r>
      <w:r>
        <w:rPr>
          <w:rFonts w:ascii="Times New Roman" w:hAnsi="Times New Roman" w:cs="Times New Roman"/>
        </w:rPr>
        <w:t>(</w:t>
      </w:r>
      <w:r w:rsidRPr="00887CCD">
        <w:rPr>
          <w:rFonts w:ascii="Times New Roman" w:hAnsi="Times New Roman" w:cs="Times New Roman"/>
        </w:rPr>
        <w:t xml:space="preserve">2010) </w:t>
      </w:r>
      <w:r>
        <w:rPr>
          <w:rFonts w:ascii="Times New Roman" w:hAnsi="Times New Roman" w:cs="Times New Roman"/>
        </w:rPr>
        <w:t xml:space="preserve">and </w:t>
      </w:r>
      <w:r w:rsidRPr="00887CCD">
        <w:rPr>
          <w:rFonts w:ascii="Times New Roman" w:hAnsi="Times New Roman" w:cs="Times New Roman"/>
        </w:rPr>
        <w:t xml:space="preserve">available at </w:t>
      </w:r>
      <w:hyperlink r:id="rId8">
        <w:r w:rsidRPr="00887CCD">
          <w:rPr>
            <w:rStyle w:val="Hyperlink"/>
            <w:rFonts w:ascii="Times New Roman" w:hAnsi="Times New Roman" w:cs="Times New Roman"/>
          </w:rPr>
          <w:t>https://acleddata.com/</w:t>
        </w:r>
      </w:hyperlink>
      <w:r w:rsidRPr="00887CCD"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/>
        </w:rPr>
        <w:t>is</w:t>
      </w:r>
      <w:r w:rsidRPr="00887CC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set</w:t>
      </w:r>
      <w:r w:rsidRPr="00887C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887CCD">
        <w:rPr>
          <w:rFonts w:ascii="Times New Roman" w:hAnsi="Times New Roman" w:cs="Times New Roman"/>
        </w:rPr>
        <w:t xml:space="preserve"> highly granular in the sense that: (i) it features any reported conflict regardless of whether the altercation resulted in any casualty; (ii) it groups incidents into six categories, which include </w:t>
      </w:r>
      <w:r w:rsidRPr="00887CCD">
        <w:rPr>
          <w:rFonts w:ascii="Times New Roman" w:hAnsi="Times New Roman" w:cs="Times New Roman"/>
          <w:i/>
          <w:iCs/>
        </w:rPr>
        <w:t>battles</w:t>
      </w:r>
      <w:r w:rsidRPr="00887CCD">
        <w:rPr>
          <w:rFonts w:ascii="Times New Roman" w:hAnsi="Times New Roman" w:cs="Times New Roman"/>
        </w:rPr>
        <w:t xml:space="preserve">, </w:t>
      </w:r>
      <w:r w:rsidRPr="00887CCD">
        <w:rPr>
          <w:rFonts w:ascii="Times New Roman" w:hAnsi="Times New Roman" w:cs="Times New Roman"/>
          <w:i/>
          <w:iCs/>
        </w:rPr>
        <w:t>strategic developments</w:t>
      </w:r>
      <w:r w:rsidRPr="00887CCD">
        <w:rPr>
          <w:rFonts w:ascii="Times New Roman" w:hAnsi="Times New Roman" w:cs="Times New Roman"/>
        </w:rPr>
        <w:t xml:space="preserve">, and </w:t>
      </w:r>
      <w:r w:rsidRPr="00887CCD">
        <w:rPr>
          <w:rFonts w:ascii="Times New Roman" w:hAnsi="Times New Roman" w:cs="Times New Roman"/>
          <w:i/>
          <w:iCs/>
        </w:rPr>
        <w:t>explosions/remote violence</w:t>
      </w:r>
      <w:r w:rsidRPr="00887CCD">
        <w:rPr>
          <w:rFonts w:ascii="Times New Roman" w:hAnsi="Times New Roman" w:cs="Times New Roman"/>
        </w:rPr>
        <w:t xml:space="preserve"> that feature two parties, typically the state or state-affiliated militias and the rebels, that dispute the control of a territory, it also includes </w:t>
      </w:r>
      <w:r w:rsidRPr="00887CCD">
        <w:rPr>
          <w:rFonts w:ascii="Times New Roman" w:hAnsi="Times New Roman" w:cs="Times New Roman"/>
          <w:i/>
          <w:iCs/>
        </w:rPr>
        <w:t>violence against civilians</w:t>
      </w:r>
      <w:r w:rsidRPr="00887CCD">
        <w:rPr>
          <w:rFonts w:ascii="Times New Roman" w:hAnsi="Times New Roman" w:cs="Times New Roman"/>
        </w:rPr>
        <w:t xml:space="preserve"> perpetrated by any of the paramilitary groups, as well as </w:t>
      </w:r>
      <w:r w:rsidRPr="00887CCD">
        <w:rPr>
          <w:rFonts w:ascii="Times New Roman" w:hAnsi="Times New Roman" w:cs="Times New Roman"/>
          <w:i/>
          <w:iCs/>
        </w:rPr>
        <w:t>protests</w:t>
      </w:r>
      <w:r w:rsidRPr="00887CCD">
        <w:rPr>
          <w:rFonts w:ascii="Times New Roman" w:hAnsi="Times New Roman" w:cs="Times New Roman"/>
        </w:rPr>
        <w:t xml:space="preserve"> and </w:t>
      </w:r>
      <w:r w:rsidRPr="00887CCD">
        <w:rPr>
          <w:rFonts w:ascii="Times New Roman" w:hAnsi="Times New Roman" w:cs="Times New Roman"/>
          <w:i/>
          <w:iCs/>
        </w:rPr>
        <w:t>riots</w:t>
      </w:r>
      <w:r w:rsidRPr="00887CCD">
        <w:rPr>
          <w:rFonts w:ascii="Times New Roman" w:hAnsi="Times New Roman" w:cs="Times New Roman"/>
        </w:rPr>
        <w:t xml:space="preserve"> that feature different manifestations of public disorder of some sort. The key disadvantage of this dataset is that it covers a relatively short period of time, from 2010 onward for most Southeast Asian countries except for</w:t>
      </w:r>
      <w:r w:rsidR="00E85F87">
        <w:rPr>
          <w:rFonts w:ascii="Times New Roman" w:hAnsi="Times New Roman" w:cs="Times New Roman"/>
        </w:rPr>
        <w:t xml:space="preserve"> Indonesia</w:t>
      </w:r>
      <w:r w:rsidRPr="00887CCD">
        <w:rPr>
          <w:rFonts w:ascii="Times New Roman" w:hAnsi="Times New Roman" w:cs="Times New Roman"/>
        </w:rPr>
        <w:t xml:space="preserve"> (from </w:t>
      </w:r>
      <w:r w:rsidR="00E85F87">
        <w:rPr>
          <w:rFonts w:ascii="Times New Roman" w:hAnsi="Times New Roman" w:cs="Times New Roman"/>
        </w:rPr>
        <w:t>2015</w:t>
      </w:r>
      <w:r w:rsidRPr="00887CCD">
        <w:rPr>
          <w:rFonts w:ascii="Times New Roman" w:hAnsi="Times New Roman" w:cs="Times New Roman"/>
        </w:rPr>
        <w:t xml:space="preserve"> onward)</w:t>
      </w:r>
      <w:r w:rsidR="00E85F87">
        <w:rPr>
          <w:rFonts w:ascii="Times New Roman" w:hAnsi="Times New Roman" w:cs="Times New Roman"/>
        </w:rPr>
        <w:t xml:space="preserve">, Philippines (from 2016 onward), and </w:t>
      </w:r>
      <w:r w:rsidR="00E85F87">
        <w:rPr>
          <w:rFonts w:ascii="Times New Roman" w:hAnsi="Times New Roman" w:cs="Times New Roman"/>
        </w:rPr>
        <w:t>Malaysia</w:t>
      </w:r>
      <w:r w:rsidR="00E85F87" w:rsidRPr="00887CCD">
        <w:rPr>
          <w:rFonts w:ascii="Times New Roman" w:hAnsi="Times New Roman" w:cs="Times New Roman"/>
        </w:rPr>
        <w:t xml:space="preserve"> (from </w:t>
      </w:r>
      <w:r w:rsidR="00E85F87">
        <w:rPr>
          <w:rFonts w:ascii="Times New Roman" w:hAnsi="Times New Roman" w:cs="Times New Roman"/>
        </w:rPr>
        <w:t>2018</w:t>
      </w:r>
      <w:r w:rsidR="00E85F87" w:rsidRPr="00887CCD">
        <w:rPr>
          <w:rFonts w:ascii="Times New Roman" w:hAnsi="Times New Roman" w:cs="Times New Roman"/>
        </w:rPr>
        <w:t xml:space="preserve"> onward)</w:t>
      </w:r>
      <w:r w:rsidRPr="00887C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85F87">
        <w:rPr>
          <w:rFonts w:ascii="Times New Roman" w:hAnsi="Times New Roman" w:cs="Times New Roman"/>
        </w:rPr>
        <w:t xml:space="preserve">Moreover, there are very few incidents observed in </w:t>
      </w:r>
      <w:r w:rsidR="00D95AF6">
        <w:rPr>
          <w:rFonts w:ascii="Times New Roman" w:hAnsi="Times New Roman" w:cs="Times New Roman"/>
        </w:rPr>
        <w:t xml:space="preserve">Brunei, </w:t>
      </w:r>
      <w:r w:rsidR="00E85F87">
        <w:rPr>
          <w:rFonts w:ascii="Times New Roman" w:hAnsi="Times New Roman" w:cs="Times New Roman"/>
        </w:rPr>
        <w:t xml:space="preserve">Laos, </w:t>
      </w:r>
      <w:r w:rsidR="00D95AF6">
        <w:rPr>
          <w:rFonts w:ascii="Times New Roman" w:hAnsi="Times New Roman" w:cs="Times New Roman"/>
        </w:rPr>
        <w:t>Singapore</w:t>
      </w:r>
      <w:r w:rsidR="00D95AF6">
        <w:rPr>
          <w:rFonts w:ascii="Times New Roman" w:hAnsi="Times New Roman" w:cs="Times New Roman"/>
        </w:rPr>
        <w:t xml:space="preserve">, and </w:t>
      </w:r>
      <w:r w:rsidR="00E85F87">
        <w:rPr>
          <w:rFonts w:ascii="Times New Roman" w:hAnsi="Times New Roman" w:cs="Times New Roman"/>
        </w:rPr>
        <w:t>Timor-Leste, and we omit these countries</w:t>
      </w:r>
      <w:r w:rsidR="00D95AF6">
        <w:rPr>
          <w:rFonts w:ascii="Times New Roman" w:hAnsi="Times New Roman" w:cs="Times New Roman"/>
        </w:rPr>
        <w:t xml:space="preserve">, which leaves </w:t>
      </w:r>
      <w:r w:rsidR="00D95AF6" w:rsidRPr="00D95AF6">
        <w:rPr>
          <w:rFonts w:ascii="Times New Roman" w:hAnsi="Times New Roman" w:cs="Times New Roman"/>
        </w:rPr>
        <w:t>Cambodia</w:t>
      </w:r>
      <w:r w:rsidR="00D95AF6">
        <w:rPr>
          <w:rFonts w:ascii="Times New Roman" w:hAnsi="Times New Roman" w:cs="Times New Roman"/>
        </w:rPr>
        <w:t xml:space="preserve">, </w:t>
      </w:r>
      <w:r w:rsidR="00D95AF6" w:rsidRPr="00D95AF6">
        <w:rPr>
          <w:rFonts w:ascii="Times New Roman" w:hAnsi="Times New Roman" w:cs="Times New Roman"/>
        </w:rPr>
        <w:t>Indonesia</w:t>
      </w:r>
      <w:r w:rsidR="00D95AF6">
        <w:rPr>
          <w:rFonts w:ascii="Times New Roman" w:hAnsi="Times New Roman" w:cs="Times New Roman"/>
        </w:rPr>
        <w:t xml:space="preserve">, </w:t>
      </w:r>
      <w:r w:rsidR="00D95AF6" w:rsidRPr="00D95AF6">
        <w:rPr>
          <w:rFonts w:ascii="Times New Roman" w:hAnsi="Times New Roman" w:cs="Times New Roman"/>
        </w:rPr>
        <w:t>Malaysia</w:t>
      </w:r>
      <w:r w:rsidR="00D95AF6">
        <w:rPr>
          <w:rFonts w:ascii="Times New Roman" w:hAnsi="Times New Roman" w:cs="Times New Roman"/>
        </w:rPr>
        <w:t xml:space="preserve">, </w:t>
      </w:r>
      <w:r w:rsidR="00D95AF6" w:rsidRPr="00D95AF6">
        <w:rPr>
          <w:rFonts w:ascii="Times New Roman" w:hAnsi="Times New Roman" w:cs="Times New Roman"/>
        </w:rPr>
        <w:t>Myanmar</w:t>
      </w:r>
      <w:r w:rsidR="00D95AF6">
        <w:rPr>
          <w:rFonts w:ascii="Times New Roman" w:hAnsi="Times New Roman" w:cs="Times New Roman"/>
        </w:rPr>
        <w:t xml:space="preserve">, </w:t>
      </w:r>
      <w:r w:rsidR="00D95AF6" w:rsidRPr="00D95AF6">
        <w:rPr>
          <w:rFonts w:ascii="Times New Roman" w:hAnsi="Times New Roman" w:cs="Times New Roman"/>
        </w:rPr>
        <w:t>Philippines</w:t>
      </w:r>
      <w:r w:rsidR="00D95AF6">
        <w:rPr>
          <w:rFonts w:ascii="Times New Roman" w:hAnsi="Times New Roman" w:cs="Times New Roman"/>
        </w:rPr>
        <w:t xml:space="preserve">, </w:t>
      </w:r>
      <w:r w:rsidR="00D95AF6" w:rsidRPr="00D95AF6">
        <w:rPr>
          <w:rFonts w:ascii="Times New Roman" w:hAnsi="Times New Roman" w:cs="Times New Roman"/>
        </w:rPr>
        <w:t>Thailand</w:t>
      </w:r>
      <w:r w:rsidR="00D95AF6">
        <w:rPr>
          <w:rFonts w:ascii="Times New Roman" w:hAnsi="Times New Roman" w:cs="Times New Roman"/>
        </w:rPr>
        <w:t xml:space="preserve">, and </w:t>
      </w:r>
      <w:r w:rsidR="00D95AF6" w:rsidRPr="00D95AF6">
        <w:rPr>
          <w:rFonts w:ascii="Times New Roman" w:hAnsi="Times New Roman" w:cs="Times New Roman"/>
        </w:rPr>
        <w:t>Vietnam</w:t>
      </w:r>
      <w:r w:rsidR="00D95AF6">
        <w:rPr>
          <w:rFonts w:ascii="Times New Roman" w:hAnsi="Times New Roman" w:cs="Times New Roman"/>
        </w:rPr>
        <w:t>, for the analysis</w:t>
      </w:r>
    </w:p>
    <w:p w14:paraId="5F8A4807" w14:textId="06B78F48" w:rsidR="00611E80" w:rsidRDefault="00E85F87" w:rsidP="00611E80">
      <w:pPr>
        <w:spacing w:after="120"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5E4B">
        <w:rPr>
          <w:rFonts w:ascii="Times New Roman" w:hAnsi="Times New Roman" w:cs="Times New Roman"/>
        </w:rPr>
        <w:t>he study period, that is from 2010 to 202</w:t>
      </w:r>
      <w:r w:rsidR="00611E80">
        <w:rPr>
          <w:rFonts w:ascii="Times New Roman" w:hAnsi="Times New Roman" w:cs="Times New Roman"/>
        </w:rPr>
        <w:t>1</w:t>
      </w:r>
      <w:r w:rsidR="00E05E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thus covers </w:t>
      </w:r>
      <w:r w:rsidR="00E05E4B">
        <w:rPr>
          <w:rFonts w:ascii="Times New Roman" w:hAnsi="Times New Roman" w:cs="Times New Roman"/>
        </w:rPr>
        <w:t xml:space="preserve">a total of </w:t>
      </w:r>
      <w:r>
        <w:rPr>
          <w:rFonts w:ascii="Times New Roman" w:hAnsi="Times New Roman" w:cs="Times New Roman"/>
        </w:rPr>
        <w:t>nearly</w:t>
      </w:r>
      <w:r w:rsidR="00611E80">
        <w:rPr>
          <w:rFonts w:ascii="Times New Roman" w:hAnsi="Times New Roman" w:cs="Times New Roman"/>
        </w:rPr>
        <w:t xml:space="preserve"> 60 thousand</w:t>
      </w:r>
      <w:r w:rsidR="00E05E4B">
        <w:rPr>
          <w:rFonts w:ascii="Times New Roman" w:hAnsi="Times New Roman" w:cs="Times New Roman"/>
        </w:rPr>
        <w:t xml:space="preserve"> incidents observed </w:t>
      </w:r>
      <w:r>
        <w:rPr>
          <w:rFonts w:ascii="Times New Roman" w:hAnsi="Times New Roman" w:cs="Times New Roman"/>
        </w:rPr>
        <w:t>across</w:t>
      </w:r>
      <w:r w:rsidR="00E05E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seven countries</w:t>
      </w:r>
      <w:r w:rsidR="00E05E4B">
        <w:rPr>
          <w:rFonts w:ascii="Times New Roman" w:hAnsi="Times New Roman" w:cs="Times New Roman"/>
        </w:rPr>
        <w:t xml:space="preserve">. This excludes incidents </w:t>
      </w:r>
      <w:r w:rsidR="00611E80">
        <w:rPr>
          <w:rFonts w:ascii="Times New Roman" w:hAnsi="Times New Roman" w:cs="Times New Roman"/>
        </w:rPr>
        <w:t>with</w:t>
      </w:r>
      <w:r w:rsidR="00E05E4B">
        <w:rPr>
          <w:rFonts w:ascii="Times New Roman" w:hAnsi="Times New Roman" w:cs="Times New Roman"/>
        </w:rPr>
        <w:t xml:space="preserve"> the geo-precision code 3 in the database</w:t>
      </w:r>
      <w:r w:rsidR="00611E80">
        <w:rPr>
          <w:rFonts w:ascii="Times New Roman" w:hAnsi="Times New Roman" w:cs="Times New Roman"/>
        </w:rPr>
        <w:t xml:space="preserve"> (approximately 2.5 percent of the data), as </w:t>
      </w:r>
      <w:r w:rsidR="008E29FE">
        <w:rPr>
          <w:rFonts w:ascii="Times New Roman" w:hAnsi="Times New Roman" w:cs="Times New Roman"/>
        </w:rPr>
        <w:t xml:space="preserve">the </w:t>
      </w:r>
      <w:r w:rsidR="00611E80">
        <w:rPr>
          <w:rFonts w:ascii="Times New Roman" w:hAnsi="Times New Roman" w:cs="Times New Roman"/>
        </w:rPr>
        <w:t xml:space="preserve">exact locations of such incidents are </w:t>
      </w:r>
      <w:r w:rsidR="008E29FE">
        <w:rPr>
          <w:rFonts w:ascii="Times New Roman" w:hAnsi="Times New Roman" w:cs="Times New Roman"/>
        </w:rPr>
        <w:t>un</w:t>
      </w:r>
      <w:r w:rsidR="00611E80">
        <w:rPr>
          <w:rFonts w:ascii="Times New Roman" w:hAnsi="Times New Roman" w:cs="Times New Roman"/>
        </w:rPr>
        <w:t>known and they are arbitrarily attributed to the nearest known site, typically a provincial capital. Figure 1 illustrates the geographical distribution of these incidents aggregated at the one-degree cell level</w:t>
      </w:r>
      <w:r w:rsidR="001A6F2C">
        <w:rPr>
          <w:rFonts w:ascii="Times New Roman" w:hAnsi="Times New Roman" w:cs="Times New Roman"/>
        </w:rPr>
        <w:t xml:space="preserve">. Together with the conflict incidents, the figure also features a selected set of </w:t>
      </w:r>
      <w:r w:rsidR="008E29FE">
        <w:rPr>
          <w:rFonts w:ascii="Times New Roman" w:hAnsi="Times New Roman" w:cs="Times New Roman"/>
        </w:rPr>
        <w:t>large</w:t>
      </w:r>
      <w:r w:rsidR="001A6F2C">
        <w:rPr>
          <w:rFonts w:ascii="Times New Roman" w:hAnsi="Times New Roman" w:cs="Times New Roman"/>
        </w:rPr>
        <w:t xml:space="preserve"> cities in the region. The data on cities were obtained from the World Cities Database available at </w:t>
      </w:r>
      <w:hyperlink r:id="rId9" w:history="1">
        <w:r w:rsidR="001A6F2C" w:rsidRPr="005704AC">
          <w:rPr>
            <w:rStyle w:val="Hyperlink"/>
            <w:rFonts w:ascii="Times New Roman" w:hAnsi="Times New Roman" w:cs="Times New Roman"/>
          </w:rPr>
          <w:t>https://simplemaps.com/data/world-cities</w:t>
        </w:r>
      </w:hyperlink>
      <w:r w:rsidR="001A6F2C">
        <w:rPr>
          <w:rFonts w:ascii="Times New Roman" w:hAnsi="Times New Roman" w:cs="Times New Roman"/>
        </w:rPr>
        <w:t>. From this map, it becomes apparent that</w:t>
      </w:r>
      <w:r w:rsidR="008E29FE">
        <w:rPr>
          <w:rFonts w:ascii="Times New Roman" w:hAnsi="Times New Roman" w:cs="Times New Roman"/>
        </w:rPr>
        <w:t xml:space="preserve">: (i) </w:t>
      </w:r>
      <w:r w:rsidR="001A6F2C">
        <w:rPr>
          <w:rFonts w:ascii="Times New Roman" w:hAnsi="Times New Roman" w:cs="Times New Roman"/>
        </w:rPr>
        <w:t xml:space="preserve">conflict, broadly defined, </w:t>
      </w:r>
      <w:r w:rsidR="008E29FE">
        <w:rPr>
          <w:rFonts w:ascii="Times New Roman" w:hAnsi="Times New Roman" w:cs="Times New Roman"/>
        </w:rPr>
        <w:t>occurs across much of the Southeast Asian region; (ii) within the region, some countries are more conflict-prone than others; (iii) there is a fair bit of spatial dependence in the prevalence of conflict; and (iv)</w:t>
      </w:r>
      <w:r w:rsidR="001A6F2C">
        <w:rPr>
          <w:rFonts w:ascii="Times New Roman" w:hAnsi="Times New Roman" w:cs="Times New Roman"/>
        </w:rPr>
        <w:t xml:space="preserve"> </w:t>
      </w:r>
      <w:r w:rsidR="008E29FE">
        <w:rPr>
          <w:rFonts w:ascii="Times New Roman" w:hAnsi="Times New Roman" w:cs="Times New Roman"/>
        </w:rPr>
        <w:t xml:space="preserve">conflict, while generally more prevalent in cities, where most people reside, is </w:t>
      </w:r>
      <w:r w:rsidR="001A6F2C">
        <w:rPr>
          <w:rFonts w:ascii="Times New Roman" w:hAnsi="Times New Roman" w:cs="Times New Roman"/>
        </w:rPr>
        <w:t xml:space="preserve">not necessarily </w:t>
      </w:r>
      <w:r w:rsidR="008E29FE">
        <w:rPr>
          <w:rFonts w:ascii="Times New Roman" w:hAnsi="Times New Roman" w:cs="Times New Roman"/>
        </w:rPr>
        <w:t xml:space="preserve">and exclusively </w:t>
      </w:r>
      <w:r w:rsidR="001A6F2C">
        <w:rPr>
          <w:rFonts w:ascii="Times New Roman" w:hAnsi="Times New Roman" w:cs="Times New Roman"/>
        </w:rPr>
        <w:t xml:space="preserve">a city phenomenon. </w:t>
      </w:r>
    </w:p>
    <w:p w14:paraId="286190FE" w14:textId="1AA1FFE2" w:rsidR="00593B8B" w:rsidRDefault="00853E74" w:rsidP="002F7116">
      <w:pPr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E24E94" wp14:editId="4B1EA123">
            <wp:extent cx="5943801" cy="502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50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51B" w14:textId="781336C8" w:rsidR="00593B8B" w:rsidRDefault="00593B8B" w:rsidP="00887CCD">
      <w:pPr>
        <w:spacing w:after="120" w:line="360" w:lineRule="auto"/>
        <w:rPr>
          <w:rFonts w:ascii="Times New Roman" w:hAnsi="Times New Roman" w:cs="Times New Roman"/>
        </w:rPr>
      </w:pPr>
      <w:r w:rsidRPr="008623AF"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</w:rPr>
        <w:t xml:space="preserve">: </w:t>
      </w:r>
      <w:r w:rsidR="00853E74">
        <w:rPr>
          <w:rFonts w:ascii="Times New Roman" w:hAnsi="Times New Roman" w:cs="Times New Roman"/>
        </w:rPr>
        <w:t>Geographic distribution of conflict</w:t>
      </w:r>
      <w:r w:rsidR="008623AF">
        <w:rPr>
          <w:rFonts w:ascii="Times New Roman" w:hAnsi="Times New Roman" w:cs="Times New Roman"/>
        </w:rPr>
        <w:t xml:space="preserve"> </w:t>
      </w:r>
      <w:r w:rsidR="00853E74">
        <w:rPr>
          <w:rFonts w:ascii="Times New Roman" w:hAnsi="Times New Roman" w:cs="Times New Roman"/>
        </w:rPr>
        <w:t>in</w:t>
      </w:r>
      <w:r w:rsidR="008623AF">
        <w:rPr>
          <w:rFonts w:ascii="Times New Roman" w:hAnsi="Times New Roman" w:cs="Times New Roman"/>
        </w:rPr>
        <w:t xml:space="preserve"> 2010-202</w:t>
      </w:r>
      <w:r w:rsidR="00853E74">
        <w:rPr>
          <w:rFonts w:ascii="Times New Roman" w:hAnsi="Times New Roman" w:cs="Times New Roman"/>
        </w:rPr>
        <w:t>1</w:t>
      </w:r>
      <w:r w:rsidR="008623AF">
        <w:rPr>
          <w:rFonts w:ascii="Times New Roman" w:hAnsi="Times New Roman" w:cs="Times New Roman"/>
        </w:rPr>
        <w:t xml:space="preserve"> </w:t>
      </w:r>
      <w:r w:rsidR="00853E74">
        <w:rPr>
          <w:rFonts w:ascii="Times New Roman" w:hAnsi="Times New Roman" w:cs="Times New Roman"/>
        </w:rPr>
        <w:t>and the major cities of the region</w:t>
      </w:r>
      <w:r w:rsidR="008623AF">
        <w:rPr>
          <w:rFonts w:ascii="Times New Roman" w:hAnsi="Times New Roman" w:cs="Times New Roman"/>
        </w:rPr>
        <w:t>.</w:t>
      </w:r>
    </w:p>
    <w:p w14:paraId="1429833B" w14:textId="07C5981F" w:rsidR="00853E74" w:rsidRPr="00853E74" w:rsidRDefault="00853E74" w:rsidP="00F65AB2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the </w:t>
      </w:r>
      <w:r w:rsidR="00F65AB2">
        <w:rPr>
          <w:rFonts w:ascii="Times New Roman" w:hAnsi="Times New Roman" w:cs="Times New Roman"/>
          <w:sz w:val="20"/>
          <w:szCs w:val="20"/>
        </w:rPr>
        <w:t>presented</w:t>
      </w:r>
      <w:r>
        <w:rPr>
          <w:rFonts w:ascii="Times New Roman" w:hAnsi="Times New Roman" w:cs="Times New Roman"/>
          <w:sz w:val="20"/>
          <w:szCs w:val="20"/>
        </w:rPr>
        <w:t xml:space="preserve"> cities are the largest, in terms of population, </w:t>
      </w:r>
      <w:r w:rsidR="00F65AB2">
        <w:rPr>
          <w:rFonts w:ascii="Times New Roman" w:hAnsi="Times New Roman" w:cs="Times New Roman"/>
          <w:sz w:val="20"/>
          <w:szCs w:val="20"/>
        </w:rPr>
        <w:t xml:space="preserve">of those </w:t>
      </w:r>
      <w:r>
        <w:rPr>
          <w:rFonts w:ascii="Times New Roman" w:hAnsi="Times New Roman" w:cs="Times New Roman"/>
          <w:sz w:val="20"/>
          <w:szCs w:val="20"/>
        </w:rPr>
        <w:t>with geographic centroid within the one-degree grid cell</w:t>
      </w:r>
      <w:r w:rsidR="00F65AB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5AB2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hen multiple cities fall within a grid cell, the largest </w:t>
      </w:r>
      <w:r w:rsidR="00F65AB2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 these cities</w:t>
      </w:r>
      <w:r w:rsidR="00F65AB2">
        <w:rPr>
          <w:rFonts w:ascii="Times New Roman" w:hAnsi="Times New Roman" w:cs="Times New Roman"/>
          <w:sz w:val="20"/>
          <w:szCs w:val="20"/>
        </w:rPr>
        <w:t xml:space="preserve"> is presented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65AB2">
        <w:rPr>
          <w:rFonts w:ascii="Times New Roman" w:hAnsi="Times New Roman" w:cs="Times New Roman"/>
          <w:sz w:val="20"/>
          <w:szCs w:val="20"/>
        </w:rPr>
        <w:t xml:space="preserve">Specifically, featured are the cities with population of more than 0.5 million that fall in the grid cell with aggregated city population of more than 2 million. This rule is arbitrary, and is only used for illustrative purposes, that is, to ensure that a manageable number of cities are presented on the map. </w:t>
      </w:r>
    </w:p>
    <w:p w14:paraId="1337676C" w14:textId="77777777" w:rsidR="00887CCD" w:rsidRP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37A59D16" w14:textId="4CC0E7BB" w:rsidR="001C60D6" w:rsidRPr="00887CCD" w:rsidRDefault="00887CCD" w:rsidP="00887CCD">
      <w:pPr>
        <w:spacing w:after="120" w:line="360" w:lineRule="auto"/>
        <w:rPr>
          <w:rFonts w:ascii="Times New Roman" w:hAnsi="Times New Roman" w:cs="Times New Roman"/>
          <w:i/>
          <w:iCs/>
        </w:rPr>
      </w:pPr>
      <w:bookmarkStart w:id="4" w:name="production"/>
      <w:bookmarkEnd w:id="3"/>
      <w:r>
        <w:rPr>
          <w:rFonts w:ascii="Times New Roman" w:hAnsi="Times New Roman" w:cs="Times New Roman"/>
          <w:i/>
          <w:iCs/>
        </w:rPr>
        <w:t xml:space="preserve">2.2. </w:t>
      </w:r>
      <w:r w:rsidRPr="00887CCD">
        <w:rPr>
          <w:rFonts w:ascii="Times New Roman" w:hAnsi="Times New Roman" w:cs="Times New Roman"/>
          <w:i/>
          <w:iCs/>
        </w:rPr>
        <w:t>Production</w:t>
      </w:r>
    </w:p>
    <w:p w14:paraId="08755B67" w14:textId="72B797F8" w:rsidR="00CE629C" w:rsidRDefault="00000000" w:rsidP="00CE629C">
      <w:pPr>
        <w:spacing w:after="120" w:line="360" w:lineRule="auto"/>
        <w:rPr>
          <w:rFonts w:ascii="Times New Roman" w:hAnsi="Times New Roman" w:cs="Times New Roman"/>
          <w:noProof/>
        </w:rPr>
      </w:pPr>
      <w:r w:rsidRPr="00887CCD">
        <w:rPr>
          <w:rFonts w:ascii="Times New Roman" w:hAnsi="Times New Roman" w:cs="Times New Roman"/>
        </w:rPr>
        <w:t xml:space="preserve">We source the data on cereal grain production and harvest months from Sacks et al. (2010) and Monfreda et al. (2008), available at </w:t>
      </w:r>
      <w:hyperlink r:id="rId11">
        <w:r w:rsidRPr="00887CCD">
          <w:rPr>
            <w:rStyle w:val="Hyperlink"/>
            <w:rFonts w:ascii="Times New Roman" w:hAnsi="Times New Roman" w:cs="Times New Roman"/>
          </w:rPr>
          <w:t>https://sage.nelson.wisc.edu/data-and-models/datasets/</w:t>
        </w:r>
      </w:hyperlink>
      <w:r w:rsidRPr="00887CCD">
        <w:rPr>
          <w:rFonts w:ascii="Times New Roman" w:hAnsi="Times New Roman" w:cs="Times New Roman"/>
        </w:rPr>
        <w:t xml:space="preserve">. We consider two key cereal grains produced across Southeast Asia: rice and maize. While rice is, by far, the most dominant cereal—both in terms of production as well as consumption—in a select </w:t>
      </w:r>
      <w:r w:rsidRPr="00887CCD">
        <w:rPr>
          <w:rFonts w:ascii="Times New Roman" w:hAnsi="Times New Roman" w:cs="Times New Roman"/>
        </w:rPr>
        <w:lastRenderedPageBreak/>
        <w:t>few locations</w:t>
      </w:r>
      <w:r w:rsidR="00994977">
        <w:rPr>
          <w:rFonts w:ascii="Times New Roman" w:hAnsi="Times New Roman" w:cs="Times New Roman"/>
        </w:rPr>
        <w:t>,</w:t>
      </w:r>
      <w:r w:rsidRPr="00887CCD">
        <w:rPr>
          <w:rFonts w:ascii="Times New Roman" w:hAnsi="Times New Roman" w:cs="Times New Roman"/>
        </w:rPr>
        <w:t xml:space="preserve"> maize is the more cultivated crop. We obtain the fraction of the cropland dedicated to the major crop—i.e., that occupying the larger fraction of the cropland— within a grid cell. The harvest may extend multiple months. We define the midpoint of the harvest season as the </w:t>
      </w:r>
      <w:r w:rsidRPr="00887CCD">
        <w:rPr>
          <w:rFonts w:ascii="Times New Roman" w:hAnsi="Times New Roman" w:cs="Times New Roman"/>
          <w:i/>
          <w:iCs/>
        </w:rPr>
        <w:t>harvest month</w:t>
      </w:r>
      <w:r w:rsidRPr="00887CCD">
        <w:rPr>
          <w:rFonts w:ascii="Times New Roman" w:hAnsi="Times New Roman" w:cs="Times New Roman"/>
        </w:rPr>
        <w:t xml:space="preserve">, and months from the harvest start to the harvest end as the </w:t>
      </w:r>
      <w:r w:rsidRPr="00887CCD">
        <w:rPr>
          <w:rFonts w:ascii="Times New Roman" w:hAnsi="Times New Roman" w:cs="Times New Roman"/>
          <w:i/>
          <w:iCs/>
        </w:rPr>
        <w:t>harvest period</w:t>
      </w:r>
      <w:r w:rsidRPr="00887CCD">
        <w:rPr>
          <w:rFonts w:ascii="Times New Roman" w:hAnsi="Times New Roman" w:cs="Times New Roman"/>
        </w:rPr>
        <w:t xml:space="preserve">. In instances where a crop is grown over </w:t>
      </w:r>
      <w:r w:rsidR="00CE629C">
        <w:rPr>
          <w:rFonts w:ascii="Times New Roman" w:hAnsi="Times New Roman" w:cs="Times New Roman"/>
        </w:rPr>
        <w:t>two</w:t>
      </w:r>
      <w:r w:rsidRPr="00887CCD">
        <w:rPr>
          <w:rFonts w:ascii="Times New Roman" w:hAnsi="Times New Roman" w:cs="Times New Roman"/>
        </w:rPr>
        <w:t xml:space="preserve"> seasons, we use the main season to identify the crop year, however we also record the harvest month and harvest period for the second season. Within a cell, the fraction of cropland as well as the months of the harvest season remain fixed over the study period.</w:t>
      </w:r>
      <w:r w:rsidR="00994977">
        <w:rPr>
          <w:rFonts w:ascii="Times New Roman" w:hAnsi="Times New Roman" w:cs="Times New Roman"/>
        </w:rPr>
        <w:t xml:space="preserve"> </w:t>
      </w:r>
      <w:r w:rsidR="00CE629C" w:rsidRPr="00887CCD">
        <w:rPr>
          <w:rFonts w:ascii="Times New Roman" w:hAnsi="Times New Roman" w:cs="Times New Roman"/>
        </w:rPr>
        <w:t xml:space="preserve">In instances where a crop is grown over </w:t>
      </w:r>
      <w:r w:rsidR="00CE629C">
        <w:rPr>
          <w:rFonts w:ascii="Times New Roman" w:hAnsi="Times New Roman" w:cs="Times New Roman"/>
        </w:rPr>
        <w:t>two</w:t>
      </w:r>
      <w:r w:rsidR="00CE629C" w:rsidRPr="00887CCD">
        <w:rPr>
          <w:rFonts w:ascii="Times New Roman" w:hAnsi="Times New Roman" w:cs="Times New Roman"/>
        </w:rPr>
        <w:t xml:space="preserve"> seasons</w:t>
      </w:r>
      <w:r w:rsidR="00CE629C">
        <w:rPr>
          <w:rFonts w:ascii="Times New Roman" w:hAnsi="Times New Roman" w:cs="Times New Roman"/>
        </w:rPr>
        <w:t>, t</w:t>
      </w:r>
      <w:r w:rsidR="00994977">
        <w:rPr>
          <w:rFonts w:ascii="Times New Roman" w:hAnsi="Times New Roman" w:cs="Times New Roman"/>
        </w:rPr>
        <w:t xml:space="preserve">he </w:t>
      </w:r>
      <w:r w:rsidR="00CE629C">
        <w:rPr>
          <w:rFonts w:ascii="Times New Roman" w:hAnsi="Times New Roman" w:cs="Times New Roman"/>
        </w:rPr>
        <w:t xml:space="preserve">area </w:t>
      </w:r>
      <w:r w:rsidR="00994977">
        <w:rPr>
          <w:rFonts w:ascii="Times New Roman" w:hAnsi="Times New Roman" w:cs="Times New Roman"/>
        </w:rPr>
        <w:t xml:space="preserve">fraction of cropland is </w:t>
      </w:r>
      <w:r w:rsidR="008E29FE">
        <w:rPr>
          <w:rFonts w:ascii="Times New Roman" w:hAnsi="Times New Roman" w:cs="Times New Roman"/>
        </w:rPr>
        <w:t xml:space="preserve">recorded to be </w:t>
      </w:r>
      <w:r w:rsidR="00994977">
        <w:rPr>
          <w:rFonts w:ascii="Times New Roman" w:hAnsi="Times New Roman" w:cs="Times New Roman"/>
        </w:rPr>
        <w:t xml:space="preserve">the same </w:t>
      </w:r>
      <w:r w:rsidR="00CE629C">
        <w:rPr>
          <w:rFonts w:ascii="Times New Roman" w:hAnsi="Times New Roman" w:cs="Times New Roman"/>
        </w:rPr>
        <w:t>in both seasons.</w:t>
      </w:r>
      <w:r w:rsidR="00CE629C">
        <w:rPr>
          <w:rFonts w:ascii="Times New Roman" w:hAnsi="Times New Roman" w:cs="Times New Roman"/>
          <w:noProof/>
        </w:rPr>
        <w:t xml:space="preserve"> </w:t>
      </w:r>
    </w:p>
    <w:p w14:paraId="7D9E729D" w14:textId="0EDE7D30" w:rsidR="008623AF" w:rsidRDefault="001534B5" w:rsidP="00CE629C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A113F7" wp14:editId="5599C850">
            <wp:extent cx="5943801" cy="2743293"/>
            <wp:effectExtent l="0" t="0" r="0" b="0"/>
            <wp:docPr id="11" name="Picture 1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27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7AB" w14:textId="581EE45F" w:rsidR="008623AF" w:rsidRDefault="008623AF" w:rsidP="008623AF">
      <w:pPr>
        <w:spacing w:after="120" w:line="360" w:lineRule="auto"/>
        <w:rPr>
          <w:rFonts w:ascii="Times New Roman" w:hAnsi="Times New Roman" w:cs="Times New Roman"/>
        </w:rPr>
      </w:pPr>
      <w:r w:rsidRPr="00FC5238">
        <w:rPr>
          <w:rFonts w:ascii="Times New Roman" w:hAnsi="Times New Roman" w:cs="Times New Roman"/>
          <w:b/>
          <w:bCs/>
        </w:rPr>
        <w:t xml:space="preserve">Figure </w:t>
      </w:r>
      <w:r w:rsidR="008E29F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>: Geographic distribution of</w:t>
      </w:r>
      <w:r w:rsidR="00FC5238">
        <w:rPr>
          <w:rFonts w:ascii="Times New Roman" w:hAnsi="Times New Roman" w:cs="Times New Roman"/>
        </w:rPr>
        <w:t xml:space="preserve"> crop harvest months</w:t>
      </w:r>
    </w:p>
    <w:p w14:paraId="6F4A6A51" w14:textId="2073FA52" w:rsidR="00017C34" w:rsidRPr="0014057E" w:rsidRDefault="00017C34" w:rsidP="0014057E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14057E">
        <w:rPr>
          <w:rFonts w:ascii="Times New Roman" w:hAnsi="Times New Roman" w:cs="Times New Roman"/>
          <w:sz w:val="20"/>
          <w:szCs w:val="20"/>
        </w:rPr>
        <w:t xml:space="preserve">Note: the main harvest season on the left, the second harvest season on the right; the size of the dots </w:t>
      </w:r>
      <w:r w:rsidR="0014057E" w:rsidRPr="0014057E">
        <w:rPr>
          <w:rFonts w:ascii="Times New Roman" w:hAnsi="Times New Roman" w:cs="Times New Roman"/>
          <w:sz w:val="20"/>
          <w:szCs w:val="20"/>
        </w:rPr>
        <w:t>indicates</w:t>
      </w:r>
      <w:r w:rsidRPr="0014057E">
        <w:rPr>
          <w:rFonts w:ascii="Times New Roman" w:hAnsi="Times New Roman" w:cs="Times New Roman"/>
          <w:sz w:val="20"/>
          <w:szCs w:val="20"/>
        </w:rPr>
        <w:t xml:space="preserve"> the cropland </w:t>
      </w:r>
      <w:r w:rsidR="0014057E" w:rsidRPr="0014057E">
        <w:rPr>
          <w:rFonts w:ascii="Times New Roman" w:hAnsi="Times New Roman" w:cs="Times New Roman"/>
          <w:sz w:val="20"/>
          <w:szCs w:val="20"/>
        </w:rPr>
        <w:t xml:space="preserve">area </w:t>
      </w:r>
      <w:r w:rsidRPr="0014057E">
        <w:rPr>
          <w:rFonts w:ascii="Times New Roman" w:hAnsi="Times New Roman" w:cs="Times New Roman"/>
          <w:sz w:val="20"/>
          <w:szCs w:val="20"/>
        </w:rPr>
        <w:t xml:space="preserve">fraction of </w:t>
      </w:r>
      <w:r w:rsidR="0014057E" w:rsidRPr="0014057E">
        <w:rPr>
          <w:rFonts w:ascii="Times New Roman" w:hAnsi="Times New Roman" w:cs="Times New Roman"/>
          <w:sz w:val="20"/>
          <w:szCs w:val="20"/>
        </w:rPr>
        <w:t>a</w:t>
      </w:r>
      <w:r w:rsidRPr="0014057E">
        <w:rPr>
          <w:rFonts w:ascii="Times New Roman" w:hAnsi="Times New Roman" w:cs="Times New Roman"/>
          <w:sz w:val="20"/>
          <w:szCs w:val="20"/>
        </w:rPr>
        <w:t xml:space="preserve"> cell</w:t>
      </w:r>
      <w:r w:rsidR="0014057E" w:rsidRPr="0014057E">
        <w:rPr>
          <w:rFonts w:ascii="Times New Roman" w:hAnsi="Times New Roman" w:cs="Times New Roman"/>
          <w:sz w:val="20"/>
          <w:szCs w:val="20"/>
        </w:rPr>
        <w:t>, ranging from 0.01 (</w:t>
      </w:r>
      <w:r w:rsidR="0014057E">
        <w:rPr>
          <w:rFonts w:ascii="Times New Roman" w:hAnsi="Times New Roman" w:cs="Times New Roman"/>
          <w:sz w:val="20"/>
          <w:szCs w:val="20"/>
        </w:rPr>
        <w:t xml:space="preserve">those with </w:t>
      </w:r>
      <w:r w:rsidR="0014057E" w:rsidRPr="0014057E">
        <w:rPr>
          <w:rFonts w:ascii="Times New Roman" w:hAnsi="Times New Roman" w:cs="Times New Roman"/>
          <w:sz w:val="20"/>
          <w:szCs w:val="20"/>
        </w:rPr>
        <w:t xml:space="preserve">smaller </w:t>
      </w:r>
      <w:r w:rsidR="0014057E">
        <w:rPr>
          <w:rFonts w:ascii="Times New Roman" w:hAnsi="Times New Roman" w:cs="Times New Roman"/>
          <w:sz w:val="20"/>
          <w:szCs w:val="20"/>
        </w:rPr>
        <w:t>values</w:t>
      </w:r>
      <w:r w:rsidRPr="0014057E">
        <w:rPr>
          <w:rFonts w:ascii="Times New Roman" w:hAnsi="Times New Roman" w:cs="Times New Roman"/>
          <w:sz w:val="20"/>
          <w:szCs w:val="20"/>
        </w:rPr>
        <w:t xml:space="preserve"> </w:t>
      </w:r>
      <w:r w:rsidR="0014057E" w:rsidRPr="0014057E">
        <w:rPr>
          <w:rFonts w:ascii="Times New Roman" w:hAnsi="Times New Roman" w:cs="Times New Roman"/>
          <w:sz w:val="20"/>
          <w:szCs w:val="20"/>
        </w:rPr>
        <w:t>are set to zero for graphing purposes) to 0.58;</w:t>
      </w:r>
      <w:r w:rsidRPr="0014057E">
        <w:rPr>
          <w:rFonts w:ascii="Times New Roman" w:hAnsi="Times New Roman" w:cs="Times New Roman"/>
          <w:sz w:val="20"/>
          <w:szCs w:val="20"/>
        </w:rPr>
        <w:t xml:space="preserve"> the </w:t>
      </w:r>
      <w:r w:rsidR="00F54D6A">
        <w:rPr>
          <w:rFonts w:ascii="Times New Roman" w:hAnsi="Times New Roman" w:cs="Times New Roman"/>
          <w:sz w:val="20"/>
          <w:szCs w:val="20"/>
        </w:rPr>
        <w:t>radial</w:t>
      </w:r>
      <w:r w:rsidRPr="0014057E">
        <w:rPr>
          <w:rFonts w:ascii="Times New Roman" w:hAnsi="Times New Roman" w:cs="Times New Roman"/>
          <w:sz w:val="20"/>
          <w:szCs w:val="20"/>
        </w:rPr>
        <w:t xml:space="preserve"> label</w:t>
      </w:r>
      <w:r w:rsidR="0014057E" w:rsidRPr="0014057E">
        <w:rPr>
          <w:rFonts w:ascii="Times New Roman" w:hAnsi="Times New Roman" w:cs="Times New Roman"/>
          <w:sz w:val="20"/>
          <w:szCs w:val="20"/>
        </w:rPr>
        <w:t>s</w:t>
      </w:r>
      <w:r w:rsidRPr="0014057E">
        <w:rPr>
          <w:rFonts w:ascii="Times New Roman" w:hAnsi="Times New Roman" w:cs="Times New Roman"/>
          <w:sz w:val="20"/>
          <w:szCs w:val="20"/>
        </w:rPr>
        <w:t xml:space="preserve"> indicate </w:t>
      </w:r>
      <w:r w:rsidR="0014057E" w:rsidRPr="0014057E">
        <w:rPr>
          <w:rFonts w:ascii="Times New Roman" w:hAnsi="Times New Roman" w:cs="Times New Roman"/>
          <w:sz w:val="20"/>
          <w:szCs w:val="20"/>
        </w:rPr>
        <w:t xml:space="preserve">the </w:t>
      </w:r>
      <w:r w:rsidR="00F54D6A">
        <w:rPr>
          <w:rFonts w:ascii="Times New Roman" w:hAnsi="Times New Roman" w:cs="Times New Roman"/>
          <w:sz w:val="20"/>
          <w:szCs w:val="20"/>
        </w:rPr>
        <w:t>count</w:t>
      </w:r>
      <w:r w:rsidRPr="0014057E">
        <w:rPr>
          <w:rFonts w:ascii="Times New Roman" w:hAnsi="Times New Roman" w:cs="Times New Roman"/>
          <w:sz w:val="20"/>
          <w:szCs w:val="20"/>
        </w:rPr>
        <w:t xml:space="preserve"> of cells </w:t>
      </w:r>
      <w:r w:rsidR="006D7BD4">
        <w:rPr>
          <w:rFonts w:ascii="Times New Roman" w:hAnsi="Times New Roman" w:cs="Times New Roman"/>
          <w:sz w:val="20"/>
          <w:szCs w:val="20"/>
        </w:rPr>
        <w:t>t</w:t>
      </w:r>
      <w:r w:rsidR="0014057E" w:rsidRPr="0014057E">
        <w:rPr>
          <w:rFonts w:ascii="Times New Roman" w:hAnsi="Times New Roman" w:cs="Times New Roman"/>
          <w:sz w:val="20"/>
          <w:szCs w:val="20"/>
        </w:rPr>
        <w:t>hat fall within</w:t>
      </w:r>
      <w:r w:rsidRPr="0014057E">
        <w:rPr>
          <w:rFonts w:ascii="Times New Roman" w:hAnsi="Times New Roman" w:cs="Times New Roman"/>
          <w:sz w:val="20"/>
          <w:szCs w:val="20"/>
        </w:rPr>
        <w:t xml:space="preserve"> a given harvest month</w:t>
      </w:r>
      <w:r w:rsidR="0014057E" w:rsidRPr="0014057E">
        <w:rPr>
          <w:rFonts w:ascii="Times New Roman" w:hAnsi="Times New Roman" w:cs="Times New Roman"/>
          <w:sz w:val="20"/>
          <w:szCs w:val="20"/>
        </w:rPr>
        <w:t>.</w:t>
      </w:r>
    </w:p>
    <w:p w14:paraId="0A7F1DC0" w14:textId="547C2DB9" w:rsid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25CFB3CD" w14:textId="16142613" w:rsidR="004A4494" w:rsidRPr="00887CCD" w:rsidRDefault="004A4494" w:rsidP="004A4494">
      <w:pPr>
        <w:spacing w:after="12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2.3. Descriptive Statistics</w:t>
      </w:r>
    </w:p>
    <w:p w14:paraId="3AF2F078" w14:textId="76BAD0BF" w:rsidR="004A4494" w:rsidRDefault="004A4494" w:rsidP="00887CCD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1 we summarize some of the key features of the data. </w:t>
      </w:r>
    </w:p>
    <w:p w14:paraId="2BFE8743" w14:textId="77E71596" w:rsidR="004A4494" w:rsidRDefault="004A4494" w:rsidP="00887CCD">
      <w:pPr>
        <w:spacing w:after="120" w:line="360" w:lineRule="auto"/>
        <w:rPr>
          <w:rFonts w:ascii="Times New Roman" w:hAnsi="Times New Roman" w:cs="Times New Roman"/>
        </w:rPr>
      </w:pPr>
    </w:p>
    <w:p w14:paraId="77341266" w14:textId="60DD46B1" w:rsidR="00D10528" w:rsidRDefault="00D10528" w:rsidP="00887CCD">
      <w:pPr>
        <w:spacing w:after="120" w:line="360" w:lineRule="auto"/>
        <w:rPr>
          <w:rFonts w:ascii="Times New Roman" w:hAnsi="Times New Roman" w:cs="Times New Roman"/>
        </w:rPr>
      </w:pPr>
    </w:p>
    <w:p w14:paraId="23EDF15C" w14:textId="78A5A1AD" w:rsidR="00D10528" w:rsidRDefault="00D10528" w:rsidP="00887CCD">
      <w:pPr>
        <w:spacing w:after="120" w:line="360" w:lineRule="auto"/>
        <w:rPr>
          <w:rFonts w:ascii="Times New Roman" w:hAnsi="Times New Roman" w:cs="Times New Roman"/>
        </w:rPr>
      </w:pPr>
    </w:p>
    <w:p w14:paraId="05385D64" w14:textId="7E70F0FC" w:rsidR="00D10528" w:rsidRDefault="00D10528" w:rsidP="00887CCD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1:</w:t>
      </w:r>
      <w:r w:rsidR="009F0490">
        <w:rPr>
          <w:rFonts w:ascii="Times New Roman" w:hAnsi="Times New Roman" w:cs="Times New Roman"/>
        </w:rPr>
        <w:t xml:space="preserve"> Descriptive Statistics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1273"/>
        <w:gridCol w:w="1425"/>
        <w:gridCol w:w="1425"/>
        <w:gridCol w:w="1358"/>
        <w:gridCol w:w="1386"/>
      </w:tblGrid>
      <w:tr w:rsidR="000A1FC6" w:rsidRPr="00037E5A" w14:paraId="1B259964" w14:textId="77777777" w:rsidTr="00037E5A">
        <w:trPr>
          <w:trHeight w:val="432"/>
        </w:trPr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A9F82" w14:textId="77777777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C7F17" w14:textId="6EE89A7E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26630" w14:textId="3B0181C7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70845" w14:textId="641CD256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S.D.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94BE1" w14:textId="16BC1806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1028D" w14:textId="7474762A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</w:p>
        </w:tc>
      </w:tr>
      <w:tr w:rsidR="000A1FC6" w:rsidRPr="00037E5A" w14:paraId="0253DE37" w14:textId="77777777" w:rsidTr="00037E5A">
        <w:trPr>
          <w:trHeight w:val="432"/>
        </w:trPr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14:paraId="21BB3169" w14:textId="77777777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6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A3FF1" w14:textId="170BC475" w:rsidR="000A1FC6" w:rsidRPr="00037E5A" w:rsidRDefault="000A1FC6" w:rsidP="00037E5A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cell-year-month level variables (2010 – 2021)</w:t>
            </w:r>
          </w:p>
        </w:tc>
      </w:tr>
      <w:tr w:rsidR="000A1FC6" w:rsidRPr="00037E5A" w14:paraId="4AEAC973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44D53B3B" w14:textId="124841C0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attles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68E1C812" w14:textId="183D159B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14:paraId="36532BF9" w14:textId="051745EA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0.297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14:paraId="2FCACD32" w14:textId="0BBB5664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1.827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vAlign w:val="center"/>
          </w:tcPr>
          <w:p w14:paraId="2C2A4741" w14:textId="3D309BDF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6CFC5736" w14:textId="6D1153D4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</w:tr>
      <w:tr w:rsidR="000A1FC6" w:rsidRPr="00037E5A" w14:paraId="6F71763C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2C3F2A0E" w14:textId="5175D085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xplosion</w:t>
            </w:r>
          </w:p>
        </w:tc>
        <w:tc>
          <w:tcPr>
            <w:tcW w:w="1273" w:type="dxa"/>
            <w:vAlign w:val="center"/>
          </w:tcPr>
          <w:p w14:paraId="0209ACCF" w14:textId="5A4B87E2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vAlign w:val="center"/>
          </w:tcPr>
          <w:p w14:paraId="24AB37DD" w14:textId="38C53EDE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0.179</w:t>
            </w:r>
          </w:p>
        </w:tc>
        <w:tc>
          <w:tcPr>
            <w:tcW w:w="1425" w:type="dxa"/>
            <w:vAlign w:val="center"/>
          </w:tcPr>
          <w:p w14:paraId="578AD4A1" w14:textId="21C70900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1.837</w:t>
            </w:r>
          </w:p>
        </w:tc>
        <w:tc>
          <w:tcPr>
            <w:tcW w:w="1358" w:type="dxa"/>
            <w:vAlign w:val="center"/>
          </w:tcPr>
          <w:p w14:paraId="6BBBE9B3" w14:textId="016F7885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23017815" w14:textId="410BFDCD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87</w:t>
            </w:r>
          </w:p>
        </w:tc>
      </w:tr>
      <w:tr w:rsidR="000A1FC6" w:rsidRPr="00037E5A" w14:paraId="5A85A1F7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30385F29" w14:textId="7445C1FE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iolence</w:t>
            </w:r>
          </w:p>
        </w:tc>
        <w:tc>
          <w:tcPr>
            <w:tcW w:w="1273" w:type="dxa"/>
            <w:vAlign w:val="center"/>
          </w:tcPr>
          <w:p w14:paraId="08A1E5E3" w14:textId="110CB66F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vAlign w:val="center"/>
          </w:tcPr>
          <w:p w14:paraId="5A59B77F" w14:textId="483732BA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0.344</w:t>
            </w:r>
          </w:p>
        </w:tc>
        <w:tc>
          <w:tcPr>
            <w:tcW w:w="1425" w:type="dxa"/>
            <w:vAlign w:val="center"/>
          </w:tcPr>
          <w:p w14:paraId="3EE178B3" w14:textId="2AB6E863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2.880</w:t>
            </w:r>
          </w:p>
        </w:tc>
        <w:tc>
          <w:tcPr>
            <w:tcW w:w="1358" w:type="dxa"/>
            <w:vAlign w:val="center"/>
          </w:tcPr>
          <w:p w14:paraId="319FB8CF" w14:textId="3B072C49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5781A08F" w14:textId="70BC2168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164</w:t>
            </w:r>
          </w:p>
        </w:tc>
      </w:tr>
      <w:tr w:rsidR="000A1FC6" w:rsidRPr="00037E5A" w14:paraId="66619342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46CD8268" w14:textId="59563E30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iots</w:t>
            </w:r>
          </w:p>
        </w:tc>
        <w:tc>
          <w:tcPr>
            <w:tcW w:w="1273" w:type="dxa"/>
            <w:vAlign w:val="center"/>
          </w:tcPr>
          <w:p w14:paraId="14B1BE02" w14:textId="530ECF6F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vAlign w:val="center"/>
          </w:tcPr>
          <w:p w14:paraId="38B62AB6" w14:textId="45FCF78D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0.049</w:t>
            </w:r>
          </w:p>
        </w:tc>
        <w:tc>
          <w:tcPr>
            <w:tcW w:w="1425" w:type="dxa"/>
            <w:vAlign w:val="center"/>
          </w:tcPr>
          <w:p w14:paraId="3F914795" w14:textId="2DFA6DB9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0.444</w:t>
            </w:r>
          </w:p>
        </w:tc>
        <w:tc>
          <w:tcPr>
            <w:tcW w:w="1358" w:type="dxa"/>
            <w:vAlign w:val="center"/>
          </w:tcPr>
          <w:p w14:paraId="01442EC5" w14:textId="4CCAE4A3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2FC2FC9B" w14:textId="3099C735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</w:tr>
      <w:tr w:rsidR="000A1FC6" w:rsidRPr="00037E5A" w14:paraId="3A0BF36D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2ADC1427" w14:textId="7FD6E76F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rotests</w:t>
            </w:r>
          </w:p>
        </w:tc>
        <w:tc>
          <w:tcPr>
            <w:tcW w:w="1273" w:type="dxa"/>
            <w:vAlign w:val="center"/>
          </w:tcPr>
          <w:p w14:paraId="17DE27D9" w14:textId="0C075DDC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vAlign w:val="center"/>
          </w:tcPr>
          <w:p w14:paraId="5245BDB9" w14:textId="01D307C8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0.541</w:t>
            </w:r>
          </w:p>
        </w:tc>
        <w:tc>
          <w:tcPr>
            <w:tcW w:w="1425" w:type="dxa"/>
            <w:vAlign w:val="center"/>
          </w:tcPr>
          <w:p w14:paraId="588C4603" w14:textId="2F42DD74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3.641</w:t>
            </w:r>
          </w:p>
        </w:tc>
        <w:tc>
          <w:tcPr>
            <w:tcW w:w="1358" w:type="dxa"/>
            <w:vAlign w:val="center"/>
          </w:tcPr>
          <w:p w14:paraId="2951A00E" w14:textId="4D9B42BA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3B760789" w14:textId="504F3CB4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268</w:t>
            </w:r>
          </w:p>
        </w:tc>
      </w:tr>
      <w:tr w:rsidR="000A1FC6" w:rsidRPr="00037E5A" w14:paraId="0A898373" w14:textId="77777777" w:rsidTr="00037E5A">
        <w:trPr>
          <w:trHeight w:val="432"/>
        </w:trPr>
        <w:tc>
          <w:tcPr>
            <w:tcW w:w="2709" w:type="dxa"/>
            <w:tcBorders>
              <w:bottom w:val="nil"/>
            </w:tcBorders>
            <w:vAlign w:val="center"/>
          </w:tcPr>
          <w:p w14:paraId="48D2F223" w14:textId="398E0484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trategic</w:t>
            </w:r>
          </w:p>
        </w:tc>
        <w:tc>
          <w:tcPr>
            <w:tcW w:w="1273" w:type="dxa"/>
            <w:tcBorders>
              <w:bottom w:val="nil"/>
            </w:tcBorders>
            <w:vAlign w:val="center"/>
          </w:tcPr>
          <w:p w14:paraId="0E43A5E1" w14:textId="7AE0D63D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tcBorders>
              <w:bottom w:val="nil"/>
            </w:tcBorders>
            <w:vAlign w:val="center"/>
          </w:tcPr>
          <w:p w14:paraId="37CD91C1" w14:textId="40AB7F69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0.171</w:t>
            </w:r>
          </w:p>
        </w:tc>
        <w:tc>
          <w:tcPr>
            <w:tcW w:w="1425" w:type="dxa"/>
            <w:tcBorders>
              <w:bottom w:val="nil"/>
            </w:tcBorders>
            <w:vAlign w:val="center"/>
          </w:tcPr>
          <w:p w14:paraId="645D72CD" w14:textId="4C0C5C2C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1.469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14:paraId="3CB824E9" w14:textId="4F6BC4C3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tcBorders>
              <w:bottom w:val="nil"/>
            </w:tcBorders>
            <w:vAlign w:val="center"/>
          </w:tcPr>
          <w:p w14:paraId="7F6CC333" w14:textId="5EE538F6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67</w:t>
            </w:r>
          </w:p>
        </w:tc>
      </w:tr>
      <w:tr w:rsidR="000A1FC6" w:rsidRPr="00037E5A" w14:paraId="5641EBF0" w14:textId="77777777" w:rsidTr="00037E5A">
        <w:trPr>
          <w:trHeight w:val="432"/>
        </w:trPr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14:paraId="259DE765" w14:textId="77777777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Combined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35C2CD15" w14:textId="77777777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37764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0D426BBC" w14:textId="77777777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1.581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482BBB40" w14:textId="77777777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7.916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14:paraId="50BB69AE" w14:textId="77777777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0D21379" w14:textId="77777777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417</w:t>
            </w:r>
          </w:p>
        </w:tc>
      </w:tr>
      <w:tr w:rsidR="000A1FC6" w:rsidRPr="00037E5A" w14:paraId="72CF9DE8" w14:textId="77777777" w:rsidTr="00037E5A">
        <w:trPr>
          <w:trHeight w:val="432"/>
        </w:trPr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14:paraId="01DEEF60" w14:textId="77777777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6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507CC6" w14:textId="6A51F0C9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4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cell level variables</w:t>
            </w:r>
          </w:p>
        </w:tc>
      </w:tr>
      <w:tr w:rsidR="000A1FC6" w:rsidRPr="00037E5A" w14:paraId="6127F693" w14:textId="77777777" w:rsidTr="00037E5A">
        <w:trPr>
          <w:trHeight w:val="432"/>
        </w:trPr>
        <w:tc>
          <w:tcPr>
            <w:tcW w:w="2709" w:type="dxa"/>
            <w:vAlign w:val="center"/>
          </w:tcPr>
          <w:p w14:paraId="039BE613" w14:textId="6766B3A0" w:rsidR="000A1FC6" w:rsidRPr="00037E5A" w:rsidRDefault="000A1FC6" w:rsidP="00037E5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Cropland area fraction</w:t>
            </w: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28553157" w14:textId="084B1AAB" w:rsidR="000A1FC6" w:rsidRPr="00037E5A" w:rsidRDefault="000A1FC6" w:rsidP="00037E5A">
            <w:pPr>
              <w:spacing w:line="276" w:lineRule="auto"/>
              <w:ind w:left="-149" w:right="-10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359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14:paraId="0ED60D1E" w14:textId="444AC718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0.062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vAlign w:val="center"/>
          </w:tcPr>
          <w:p w14:paraId="44C203CD" w14:textId="03C4CDAC" w:rsidR="000A1FC6" w:rsidRPr="00037E5A" w:rsidRDefault="000A1FC6" w:rsidP="00037E5A">
            <w:pPr>
              <w:spacing w:line="276" w:lineRule="auto"/>
              <w:ind w:left="-149" w:right="34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0.087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vAlign w:val="center"/>
          </w:tcPr>
          <w:p w14:paraId="6218A963" w14:textId="3012ECD1" w:rsidR="000A1FC6" w:rsidRPr="00037E5A" w:rsidRDefault="000A1FC6" w:rsidP="00037E5A">
            <w:pPr>
              <w:spacing w:line="276" w:lineRule="auto"/>
              <w:ind w:left="-149" w:right="-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6727139A" w14:textId="6113E3A4" w:rsidR="000A1FC6" w:rsidRPr="00037E5A" w:rsidRDefault="000A1FC6" w:rsidP="00037E5A">
            <w:pPr>
              <w:tabs>
                <w:tab w:val="left" w:pos="810"/>
              </w:tabs>
              <w:spacing w:line="276" w:lineRule="auto"/>
              <w:ind w:left="-149" w:right="305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37E5A">
              <w:rPr>
                <w:rFonts w:ascii="Times New Roman" w:hAnsi="Times New Roman" w:cs="Times New Roman"/>
                <w:sz w:val="22"/>
                <w:szCs w:val="22"/>
              </w:rPr>
              <w:t>0.584</w:t>
            </w:r>
          </w:p>
        </w:tc>
      </w:tr>
    </w:tbl>
    <w:p w14:paraId="4B0CF25A" w14:textId="635FDBDC" w:rsidR="00D10528" w:rsidRPr="00037E5A" w:rsidRDefault="005C30C2" w:rsidP="00037E5A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037E5A">
        <w:rPr>
          <w:rFonts w:ascii="Times New Roman" w:hAnsi="Times New Roman" w:cs="Times New Roman"/>
          <w:sz w:val="20"/>
          <w:szCs w:val="20"/>
        </w:rPr>
        <w:t xml:space="preserve">Note: </w:t>
      </w:r>
      <w:r w:rsidR="00037E5A">
        <w:rPr>
          <w:rFonts w:ascii="Times New Roman" w:hAnsi="Times New Roman" w:cs="Times New Roman"/>
          <w:sz w:val="20"/>
          <w:szCs w:val="20"/>
        </w:rPr>
        <w:t xml:space="preserve">the data are for </w:t>
      </w:r>
      <w:r w:rsidR="00037E5A" w:rsidRPr="00037E5A">
        <w:rPr>
          <w:rFonts w:ascii="Times New Roman" w:hAnsi="Times New Roman" w:cs="Times New Roman"/>
          <w:sz w:val="20"/>
          <w:szCs w:val="20"/>
        </w:rPr>
        <w:t>Cambodia, Indonesia</w:t>
      </w:r>
      <w:r w:rsidR="00037E5A">
        <w:rPr>
          <w:rFonts w:ascii="Times New Roman" w:hAnsi="Times New Roman" w:cs="Times New Roman"/>
          <w:sz w:val="20"/>
          <w:szCs w:val="20"/>
        </w:rPr>
        <w:t xml:space="preserve"> (2015 – 2021)</w:t>
      </w:r>
      <w:r w:rsidR="00037E5A" w:rsidRPr="00037E5A">
        <w:rPr>
          <w:rFonts w:ascii="Times New Roman" w:hAnsi="Times New Roman" w:cs="Times New Roman"/>
          <w:sz w:val="20"/>
          <w:szCs w:val="20"/>
        </w:rPr>
        <w:t>, Malaysia</w:t>
      </w:r>
      <w:r w:rsidR="00037E5A">
        <w:rPr>
          <w:rFonts w:ascii="Times New Roman" w:hAnsi="Times New Roman" w:cs="Times New Roman"/>
          <w:sz w:val="20"/>
          <w:szCs w:val="20"/>
        </w:rPr>
        <w:t xml:space="preserve"> (201</w:t>
      </w:r>
      <w:r w:rsidR="00037E5A">
        <w:rPr>
          <w:rFonts w:ascii="Times New Roman" w:hAnsi="Times New Roman" w:cs="Times New Roman"/>
          <w:sz w:val="20"/>
          <w:szCs w:val="20"/>
        </w:rPr>
        <w:t>8</w:t>
      </w:r>
      <w:r w:rsidR="00037E5A">
        <w:rPr>
          <w:rFonts w:ascii="Times New Roman" w:hAnsi="Times New Roman" w:cs="Times New Roman"/>
          <w:sz w:val="20"/>
          <w:szCs w:val="20"/>
        </w:rPr>
        <w:t xml:space="preserve"> – 2021)</w:t>
      </w:r>
      <w:r w:rsidR="00037E5A" w:rsidRPr="00037E5A">
        <w:rPr>
          <w:rFonts w:ascii="Times New Roman" w:hAnsi="Times New Roman" w:cs="Times New Roman"/>
          <w:sz w:val="20"/>
          <w:szCs w:val="20"/>
        </w:rPr>
        <w:t>, Myanmar, Philippines</w:t>
      </w:r>
      <w:r w:rsidR="00037E5A">
        <w:rPr>
          <w:rFonts w:ascii="Times New Roman" w:hAnsi="Times New Roman" w:cs="Times New Roman"/>
          <w:sz w:val="20"/>
          <w:szCs w:val="20"/>
        </w:rPr>
        <w:t xml:space="preserve"> (201</w:t>
      </w:r>
      <w:r w:rsidR="00037E5A">
        <w:rPr>
          <w:rFonts w:ascii="Times New Roman" w:hAnsi="Times New Roman" w:cs="Times New Roman"/>
          <w:sz w:val="20"/>
          <w:szCs w:val="20"/>
        </w:rPr>
        <w:t>6</w:t>
      </w:r>
      <w:r w:rsidR="00037E5A">
        <w:rPr>
          <w:rFonts w:ascii="Times New Roman" w:hAnsi="Times New Roman" w:cs="Times New Roman"/>
          <w:sz w:val="20"/>
          <w:szCs w:val="20"/>
        </w:rPr>
        <w:t xml:space="preserve"> – 2021)</w:t>
      </w:r>
      <w:r w:rsidR="00037E5A" w:rsidRPr="00037E5A">
        <w:rPr>
          <w:rFonts w:ascii="Times New Roman" w:hAnsi="Times New Roman" w:cs="Times New Roman"/>
          <w:sz w:val="20"/>
          <w:szCs w:val="20"/>
        </w:rPr>
        <w:t>, Thailand, and Vietnam</w:t>
      </w:r>
      <w:r w:rsidR="00037E5A">
        <w:rPr>
          <w:rFonts w:ascii="Times New Roman" w:hAnsi="Times New Roman" w:cs="Times New Roman"/>
          <w:sz w:val="20"/>
          <w:szCs w:val="20"/>
        </w:rPr>
        <w:t>.</w:t>
      </w:r>
    </w:p>
    <w:p w14:paraId="1E1846EB" w14:textId="77777777" w:rsidR="00D10528" w:rsidRPr="00887CCD" w:rsidRDefault="00D10528" w:rsidP="00887CCD">
      <w:pPr>
        <w:spacing w:after="120" w:line="360" w:lineRule="auto"/>
        <w:rPr>
          <w:rFonts w:ascii="Times New Roman" w:hAnsi="Times New Roman" w:cs="Times New Roman"/>
        </w:rPr>
      </w:pPr>
    </w:p>
    <w:p w14:paraId="6CE9E506" w14:textId="76053A44" w:rsidR="001C60D6" w:rsidRPr="00994977" w:rsidRDefault="00887CCD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estimation-strategy"/>
      <w:bookmarkEnd w:id="2"/>
      <w:bookmarkEnd w:id="4"/>
      <w:r w:rsidRPr="00994977">
        <w:rPr>
          <w:rFonts w:ascii="Times New Roman" w:hAnsi="Times New Roman" w:cs="Times New Roman"/>
          <w:b/>
          <w:bCs/>
          <w:sz w:val="28"/>
          <w:szCs w:val="28"/>
        </w:rPr>
        <w:t>3. Estimation Strategy</w:t>
      </w:r>
    </w:p>
    <w:p w14:paraId="6E06C72F" w14:textId="35385944" w:rsidR="00887CCD" w:rsidRDefault="00D64282" w:rsidP="00D64282">
      <w:pPr>
        <w:spacing w:after="120" w:line="360" w:lineRule="auto"/>
        <w:rPr>
          <w:rFonts w:ascii="Times New Roman" w:hAnsi="Times New Roman" w:cs="Times New Roman"/>
        </w:rPr>
      </w:pPr>
      <w:r w:rsidRPr="00D64282">
        <w:rPr>
          <w:rFonts w:ascii="Times New Roman" w:hAnsi="Times New Roman" w:cs="Times New Roman"/>
        </w:rPr>
        <w:t xml:space="preserve">We denote </w:t>
      </w:r>
      <w:r w:rsidR="00CE629C" w:rsidRPr="00CE629C">
        <w:rPr>
          <w:rFonts w:ascii="Times New Roman" w:hAnsi="Times New Roman" w:cs="Times New Roman"/>
          <w:i/>
          <w:iCs/>
        </w:rPr>
        <w:t>location</w:t>
      </w:r>
      <w:r w:rsidR="00CE629C">
        <w:rPr>
          <w:rFonts w:ascii="Times New Roman" w:hAnsi="Times New Roman" w:cs="Times New Roman"/>
        </w:rPr>
        <w:t xml:space="preserve">, which is </w:t>
      </w:r>
      <w:r w:rsidRPr="00D64282">
        <w:rPr>
          <w:rFonts w:ascii="Times New Roman" w:hAnsi="Times New Roman" w:cs="Times New Roman"/>
        </w:rPr>
        <w:t>a one-degree cell</w:t>
      </w:r>
      <w:r w:rsidR="00CE629C">
        <w:rPr>
          <w:rFonts w:ascii="Times New Roman" w:hAnsi="Times New Roman" w:cs="Times New Roman"/>
        </w:rPr>
        <w:t>,</w:t>
      </w:r>
      <w:r w:rsidRPr="00D64282">
        <w:rPr>
          <w:rFonts w:ascii="Times New Roman" w:hAnsi="Times New Roman" w:cs="Times New Roman"/>
        </w:rPr>
        <w:t xml:space="preserve"> with subscript </w:t>
      </w:r>
      <w:r w:rsidRPr="00EF14C3">
        <w:rPr>
          <w:rFonts w:ascii="Times New Roman" w:hAnsi="Times New Roman" w:cs="Times New Roman"/>
          <w:i/>
          <w:iCs/>
        </w:rPr>
        <w:t>i</w:t>
      </w:r>
      <w:r w:rsidRPr="00D64282">
        <w:rPr>
          <w:rFonts w:ascii="Times New Roman" w:hAnsi="Times New Roman" w:cs="Times New Roman"/>
        </w:rPr>
        <w:t xml:space="preserve">, </w:t>
      </w:r>
      <w:r w:rsidR="000A37A3">
        <w:rPr>
          <w:rFonts w:ascii="Times New Roman" w:hAnsi="Times New Roman" w:cs="Times New Roman"/>
        </w:rPr>
        <w:t xml:space="preserve">and </w:t>
      </w:r>
      <w:r w:rsidR="00CE629C" w:rsidRPr="00CE629C">
        <w:rPr>
          <w:rFonts w:ascii="Times New Roman" w:hAnsi="Times New Roman" w:cs="Times New Roman"/>
          <w:i/>
          <w:iCs/>
        </w:rPr>
        <w:t>period</w:t>
      </w:r>
      <w:r w:rsidR="00CE629C">
        <w:rPr>
          <w:rFonts w:ascii="Times New Roman" w:hAnsi="Times New Roman" w:cs="Times New Roman"/>
        </w:rPr>
        <w:t xml:space="preserve">, which is </w:t>
      </w:r>
      <w:r w:rsidR="000A37A3">
        <w:rPr>
          <w:rFonts w:ascii="Times New Roman" w:hAnsi="Times New Roman" w:cs="Times New Roman"/>
        </w:rPr>
        <w:t>a</w:t>
      </w:r>
      <w:r w:rsidRPr="00D64282">
        <w:rPr>
          <w:rFonts w:ascii="Times New Roman" w:hAnsi="Times New Roman" w:cs="Times New Roman"/>
        </w:rPr>
        <w:t xml:space="preserve"> year</w:t>
      </w:r>
      <w:r w:rsidR="000A37A3" w:rsidRPr="00D64282">
        <w:rPr>
          <w:rFonts w:ascii="Times New Roman" w:hAnsi="Times New Roman" w:cs="Times New Roman"/>
        </w:rPr>
        <w:t>–</w:t>
      </w:r>
      <w:r w:rsidR="000A37A3">
        <w:rPr>
          <w:rFonts w:ascii="Times New Roman" w:hAnsi="Times New Roman" w:cs="Times New Roman"/>
        </w:rPr>
        <w:t>month</w:t>
      </w:r>
      <w:r w:rsidR="00CE629C">
        <w:rPr>
          <w:rFonts w:ascii="Times New Roman" w:hAnsi="Times New Roman" w:cs="Times New Roman"/>
        </w:rPr>
        <w:t>,</w:t>
      </w:r>
      <w:r w:rsidRPr="00D64282">
        <w:rPr>
          <w:rFonts w:ascii="Times New Roman" w:hAnsi="Times New Roman" w:cs="Times New Roman"/>
        </w:rPr>
        <w:t xml:space="preserve"> with subscript </w:t>
      </w:r>
      <w:r w:rsidRPr="000A37A3">
        <w:rPr>
          <w:rFonts w:ascii="Times New Roman" w:hAnsi="Times New Roman" w:cs="Times New Roman"/>
          <w:i/>
          <w:iCs/>
        </w:rPr>
        <w:t>t</w:t>
      </w:r>
      <w:r w:rsidRPr="00D64282">
        <w:rPr>
          <w:rFonts w:ascii="Times New Roman" w:hAnsi="Times New Roman" w:cs="Times New Roman"/>
        </w:rPr>
        <w:t>. The units of analysis</w:t>
      </w:r>
      <w:r w:rsidR="00CE629C">
        <w:rPr>
          <w:rFonts w:ascii="Times New Roman" w:hAnsi="Times New Roman" w:cs="Times New Roman"/>
        </w:rPr>
        <w:t>, thus,</w:t>
      </w:r>
      <w:r w:rsidRPr="00D64282">
        <w:rPr>
          <w:rFonts w:ascii="Times New Roman" w:hAnsi="Times New Roman" w:cs="Times New Roman"/>
        </w:rPr>
        <w:t xml:space="preserve"> are </w:t>
      </w:r>
      <w:r w:rsidR="00CE629C">
        <w:rPr>
          <w:rFonts w:ascii="Times New Roman" w:hAnsi="Times New Roman" w:cs="Times New Roman"/>
        </w:rPr>
        <w:t>location-period</w:t>
      </w:r>
      <w:r w:rsidRPr="00D64282">
        <w:rPr>
          <w:rFonts w:ascii="Times New Roman" w:hAnsi="Times New Roman" w:cs="Times New Roman"/>
        </w:rPr>
        <w:t xml:space="preserve"> covering </w:t>
      </w:r>
      <w:r w:rsidR="004A4494">
        <w:rPr>
          <w:rFonts w:ascii="Times New Roman" w:hAnsi="Times New Roman" w:cs="Times New Roman"/>
        </w:rPr>
        <w:t xml:space="preserve">378 unique grid cells across </w:t>
      </w:r>
      <w:r w:rsidR="000A37A3">
        <w:rPr>
          <w:rFonts w:ascii="Times New Roman" w:hAnsi="Times New Roman" w:cs="Times New Roman"/>
        </w:rPr>
        <w:t xml:space="preserve">Southeast Asia </w:t>
      </w:r>
      <w:r w:rsidR="004A4494">
        <w:rPr>
          <w:rFonts w:ascii="Times New Roman" w:hAnsi="Times New Roman" w:cs="Times New Roman"/>
        </w:rPr>
        <w:t>between January 2010 and December 2020</w:t>
      </w:r>
      <w:r w:rsidRPr="00D64282">
        <w:rPr>
          <w:rFonts w:ascii="Times New Roman" w:hAnsi="Times New Roman" w:cs="Times New Roman"/>
        </w:rPr>
        <w:t xml:space="preserve">. </w:t>
      </w:r>
      <w:r w:rsidR="000A37A3">
        <w:rPr>
          <w:rFonts w:ascii="Times New Roman" w:hAnsi="Times New Roman" w:cs="Times New Roman"/>
        </w:rPr>
        <w:t>Because we apply monthly rather than yearly data, w</w:t>
      </w:r>
      <w:r w:rsidRPr="00D64282">
        <w:rPr>
          <w:rFonts w:ascii="Times New Roman" w:hAnsi="Times New Roman" w:cs="Times New Roman"/>
        </w:rPr>
        <w:t xml:space="preserve">e </w:t>
      </w:r>
      <w:r w:rsidR="000A37A3">
        <w:rPr>
          <w:rFonts w:ascii="Times New Roman" w:hAnsi="Times New Roman" w:cs="Times New Roman"/>
        </w:rPr>
        <w:t>opt for</w:t>
      </w:r>
      <w:r w:rsidRPr="00D64282">
        <w:rPr>
          <w:rFonts w:ascii="Times New Roman" w:hAnsi="Times New Roman" w:cs="Times New Roman"/>
        </w:rPr>
        <w:t xml:space="preserve"> the </w:t>
      </w:r>
      <w:r w:rsidR="000A37A3">
        <w:rPr>
          <w:rFonts w:ascii="Times New Roman" w:hAnsi="Times New Roman" w:cs="Times New Roman"/>
        </w:rPr>
        <w:t>relatively crude</w:t>
      </w:r>
      <w:r w:rsidRPr="00D64282">
        <w:rPr>
          <w:rFonts w:ascii="Times New Roman" w:hAnsi="Times New Roman" w:cs="Times New Roman"/>
        </w:rPr>
        <w:t xml:space="preserve"> level of </w:t>
      </w:r>
      <w:r w:rsidR="00D03C04">
        <w:rPr>
          <w:rFonts w:ascii="Times New Roman" w:hAnsi="Times New Roman" w:cs="Times New Roman"/>
        </w:rPr>
        <w:t xml:space="preserve">spatial </w:t>
      </w:r>
      <w:r w:rsidRPr="00D64282">
        <w:rPr>
          <w:rFonts w:ascii="Times New Roman" w:hAnsi="Times New Roman" w:cs="Times New Roman"/>
        </w:rPr>
        <w:t>aggregation—</w:t>
      </w:r>
      <w:r w:rsidR="004A4494" w:rsidRPr="00D64282">
        <w:rPr>
          <w:rFonts w:ascii="Times New Roman" w:hAnsi="Times New Roman" w:cs="Times New Roman"/>
        </w:rPr>
        <w:t>one-degree</w:t>
      </w:r>
      <w:r w:rsidRPr="00D64282">
        <w:rPr>
          <w:rFonts w:ascii="Times New Roman" w:hAnsi="Times New Roman" w:cs="Times New Roman"/>
        </w:rPr>
        <w:t xml:space="preserve"> cells that measure approximately 110×110 km near the equator—</w:t>
      </w:r>
      <w:r w:rsidR="000A37A3">
        <w:rPr>
          <w:rFonts w:ascii="Times New Roman" w:hAnsi="Times New Roman" w:cs="Times New Roman"/>
        </w:rPr>
        <w:t xml:space="preserve">as opposed to finer level of </w:t>
      </w:r>
      <w:r w:rsidR="00D03C04">
        <w:rPr>
          <w:rFonts w:ascii="Times New Roman" w:hAnsi="Times New Roman" w:cs="Times New Roman"/>
        </w:rPr>
        <w:t xml:space="preserve">spatial </w:t>
      </w:r>
      <w:r w:rsidR="000A37A3">
        <w:rPr>
          <w:rFonts w:ascii="Times New Roman" w:hAnsi="Times New Roman" w:cs="Times New Roman"/>
        </w:rPr>
        <w:t>aggregation</w:t>
      </w:r>
      <w:r w:rsidR="004A4494">
        <w:rPr>
          <w:rFonts w:ascii="Times New Roman" w:hAnsi="Times New Roman" w:cs="Times New Roman"/>
        </w:rPr>
        <w:t xml:space="preserve">, </w:t>
      </w:r>
      <w:r w:rsidR="000A37A3">
        <w:rPr>
          <w:rFonts w:ascii="Times New Roman" w:hAnsi="Times New Roman" w:cs="Times New Roman"/>
        </w:rPr>
        <w:t>e.g., 0.5</w:t>
      </w:r>
      <w:r w:rsidR="004A4494">
        <w:rPr>
          <w:rFonts w:ascii="Times New Roman" w:hAnsi="Times New Roman" w:cs="Times New Roman"/>
        </w:rPr>
        <w:t>-</w:t>
      </w:r>
      <w:r w:rsidR="000A37A3">
        <w:rPr>
          <w:rFonts w:ascii="Times New Roman" w:hAnsi="Times New Roman" w:cs="Times New Roman"/>
        </w:rPr>
        <w:t>degree cells, as used by other studies</w:t>
      </w:r>
      <w:r w:rsidR="004A4494">
        <w:rPr>
          <w:rFonts w:ascii="Times New Roman" w:hAnsi="Times New Roman" w:cs="Times New Roman"/>
        </w:rPr>
        <w:t>,</w:t>
      </w:r>
      <w:r w:rsidR="000A37A3">
        <w:rPr>
          <w:rFonts w:ascii="Times New Roman" w:hAnsi="Times New Roman" w:cs="Times New Roman"/>
        </w:rPr>
        <w:t xml:space="preserve"> </w:t>
      </w:r>
      <w:r w:rsidRPr="00D64282">
        <w:rPr>
          <w:rFonts w:ascii="Times New Roman" w:hAnsi="Times New Roman" w:cs="Times New Roman"/>
        </w:rPr>
        <w:t xml:space="preserve">to ensure </w:t>
      </w:r>
      <w:r w:rsidR="00D03C04">
        <w:rPr>
          <w:rFonts w:ascii="Times New Roman" w:hAnsi="Times New Roman" w:cs="Times New Roman"/>
        </w:rPr>
        <w:t>there are</w:t>
      </w:r>
      <w:r w:rsidRPr="00D64282">
        <w:rPr>
          <w:rFonts w:ascii="Times New Roman" w:hAnsi="Times New Roman" w:cs="Times New Roman"/>
        </w:rPr>
        <w:t xml:space="preserve"> sufficient number of units with conflict incident</w:t>
      </w:r>
      <w:r w:rsidR="000A37A3">
        <w:rPr>
          <w:rFonts w:ascii="Times New Roman" w:hAnsi="Times New Roman" w:cs="Times New Roman"/>
        </w:rPr>
        <w:t>s</w:t>
      </w:r>
      <w:r w:rsidRPr="00D64282">
        <w:rPr>
          <w:rFonts w:ascii="Times New Roman" w:hAnsi="Times New Roman" w:cs="Times New Roman"/>
        </w:rPr>
        <w:t xml:space="preserve">. The current level of aggregation is granular enough to </w:t>
      </w:r>
      <w:r w:rsidR="00D03C04">
        <w:rPr>
          <w:rFonts w:ascii="Times New Roman" w:hAnsi="Times New Roman" w:cs="Times New Roman"/>
        </w:rPr>
        <w:t>not sabotage the</w:t>
      </w:r>
      <w:r w:rsidRPr="00D64282">
        <w:rPr>
          <w:rFonts w:ascii="Times New Roman" w:hAnsi="Times New Roman" w:cs="Times New Roman"/>
        </w:rPr>
        <w:t xml:space="preserve"> within-country variation in conflict incidents.</w:t>
      </w:r>
    </w:p>
    <w:p w14:paraId="617BBACB" w14:textId="77777777" w:rsidR="00D64282" w:rsidRPr="00995C5D" w:rsidRDefault="00D64282" w:rsidP="00D03C04">
      <w:pPr>
        <w:spacing w:after="120" w:line="360" w:lineRule="auto"/>
        <w:ind w:left="-15" w:firstLine="375"/>
        <w:rPr>
          <w:rFonts w:ascii="Times New Roman" w:hAnsi="Times New Roman" w:cs="Times New Roman"/>
        </w:rPr>
      </w:pPr>
      <w:r w:rsidRPr="00995C5D">
        <w:rPr>
          <w:rFonts w:ascii="Times New Roman" w:hAnsi="Times New Roman" w:cs="Times New Roman"/>
        </w:rPr>
        <w:t>Our main econometric specification is as follows:</w:t>
      </w:r>
    </w:p>
    <w:p w14:paraId="62B9F03C" w14:textId="0A86604A" w:rsidR="00D64282" w:rsidRPr="00995C5D" w:rsidRDefault="00000000" w:rsidP="00D64282">
      <w:pPr>
        <w:spacing w:after="120" w:line="360" w:lineRule="auto"/>
        <w:ind w:firstLine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="00D64282" w:rsidRPr="00995C5D">
        <w:rPr>
          <w:rFonts w:ascii="Times New Roman" w:hAnsi="Times New Roman" w:cs="Times New Roman"/>
        </w:rPr>
        <w:t xml:space="preserve"> </w:t>
      </w:r>
      <w:r w:rsidR="00D64282" w:rsidRPr="00995C5D">
        <w:rPr>
          <w:rFonts w:ascii="Times New Roman" w:hAnsi="Times New Roman" w:cs="Times New Roman"/>
        </w:rPr>
        <w:tab/>
      </w:r>
      <w:r w:rsidR="00D64282" w:rsidRPr="00995C5D">
        <w:rPr>
          <w:rFonts w:ascii="Times New Roman" w:hAnsi="Times New Roman" w:cs="Times New Roman"/>
        </w:rPr>
        <w:tab/>
      </w:r>
      <w:r w:rsidR="00D64282" w:rsidRPr="00995C5D">
        <w:rPr>
          <w:rFonts w:ascii="Times New Roman" w:hAnsi="Times New Roman" w:cs="Times New Roman"/>
        </w:rPr>
        <w:tab/>
      </w:r>
      <w:r w:rsidR="00D64282" w:rsidRPr="00995C5D">
        <w:rPr>
          <w:rFonts w:ascii="Times New Roman" w:hAnsi="Times New Roman" w:cs="Times New Roman"/>
        </w:rPr>
        <w:tab/>
      </w:r>
      <w:r w:rsidR="00D64282" w:rsidRPr="00995C5D">
        <w:rPr>
          <w:rFonts w:ascii="Times New Roman" w:hAnsi="Times New Roman" w:cs="Times New Roman"/>
        </w:rPr>
        <w:tab/>
      </w:r>
      <w:r w:rsidR="00D64282" w:rsidRPr="00995C5D">
        <w:rPr>
          <w:rFonts w:ascii="Times New Roman" w:hAnsi="Times New Roman" w:cs="Times New Roman"/>
        </w:rPr>
        <w:tab/>
        <w:t>(1)</w:t>
      </w:r>
    </w:p>
    <w:p w14:paraId="12421C9E" w14:textId="6830E2FB" w:rsidR="00D64282" w:rsidRPr="00995C5D" w:rsidRDefault="00D64282" w:rsidP="00D64282">
      <w:pPr>
        <w:spacing w:after="120" w:line="360" w:lineRule="auto"/>
        <w:ind w:left="-15"/>
        <w:rPr>
          <w:rFonts w:ascii="Times New Roman" w:hAnsi="Times New Roman" w:cs="Times New Roman"/>
        </w:rPr>
      </w:pPr>
      <w:r w:rsidRPr="00995C5D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95C5D">
        <w:rPr>
          <w:rFonts w:ascii="Times New Roman" w:hAnsi="Times New Roman" w:cs="Times New Roman"/>
        </w:rPr>
        <w:t xml:space="preserve"> de</w:t>
      </w:r>
      <w:r w:rsidR="00EF14C3">
        <w:rPr>
          <w:rFonts w:ascii="Times New Roman" w:hAnsi="Times New Roman" w:cs="Times New Roman"/>
        </w:rPr>
        <w:t>picts</w:t>
      </w:r>
      <w:r w:rsidRPr="00995C5D">
        <w:rPr>
          <w:rFonts w:ascii="Times New Roman" w:hAnsi="Times New Roman" w:cs="Times New Roman"/>
        </w:rPr>
        <w:t xml:space="preserve"> the </w:t>
      </w:r>
      <w:r w:rsidR="00EF14C3">
        <w:rPr>
          <w:rFonts w:ascii="Times New Roman" w:hAnsi="Times New Roman" w:cs="Times New Roman"/>
        </w:rPr>
        <w:t xml:space="preserve">number of </w:t>
      </w:r>
      <w:r w:rsidRPr="00995C5D">
        <w:rPr>
          <w:rFonts w:ascii="Times New Roman" w:hAnsi="Times New Roman" w:cs="Times New Roman"/>
        </w:rPr>
        <w:t>inciden</w:t>
      </w:r>
      <w:r w:rsidR="00EF14C3">
        <w:rPr>
          <w:rFonts w:ascii="Times New Roman" w:hAnsi="Times New Roman" w:cs="Times New Roman"/>
        </w:rPr>
        <w:t>ts</w:t>
      </w:r>
      <w:r w:rsidRPr="00995C5D">
        <w:rPr>
          <w:rFonts w:ascii="Times New Roman" w:hAnsi="Times New Roman" w:cs="Times New Roman"/>
        </w:rPr>
        <w:t xml:space="preserve"> in cell </w:t>
      </w:r>
      <w:r w:rsidRPr="00995C5D">
        <w:rPr>
          <w:rFonts w:ascii="Times New Roman" w:hAnsi="Times New Roman" w:cs="Times New Roman"/>
          <w:i/>
          <w:iCs/>
        </w:rPr>
        <w:t>i</w:t>
      </w:r>
      <w:r w:rsidRPr="00995C5D">
        <w:rPr>
          <w:rFonts w:ascii="Times New Roman" w:hAnsi="Times New Roman" w:cs="Times New Roman"/>
        </w:rPr>
        <w:t xml:space="preserve"> in </w:t>
      </w:r>
      <w:r w:rsidR="00EF14C3">
        <w:rPr>
          <w:rFonts w:ascii="Times New Roman" w:hAnsi="Times New Roman" w:cs="Times New Roman"/>
        </w:rPr>
        <w:t>period</w:t>
      </w:r>
      <w:r w:rsidRPr="00995C5D">
        <w:rPr>
          <w:rFonts w:ascii="Times New Roman" w:hAnsi="Times New Roman" w:cs="Times New Roman"/>
        </w:rPr>
        <w:t xml:space="preserve"> </w:t>
      </w:r>
      <w:r w:rsidRPr="00995C5D">
        <w:rPr>
          <w:rFonts w:ascii="Times New Roman" w:hAnsi="Times New Roman" w:cs="Times New Roman"/>
          <w:i/>
          <w:iCs/>
        </w:rPr>
        <w:t>t</w:t>
      </w:r>
      <w:r w:rsidRPr="00995C5D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95C5D">
        <w:rPr>
          <w:rFonts w:ascii="Times New Roman" w:hAnsi="Times New Roman" w:cs="Times New Roman"/>
        </w:rPr>
        <w:t xml:space="preserve"> is the time-invariant cropland area fraction in cell </w:t>
      </w:r>
      <w:r w:rsidRPr="00995C5D">
        <w:rPr>
          <w:rFonts w:ascii="Times New Roman" w:hAnsi="Times New Roman" w:cs="Times New Roman"/>
          <w:i/>
          <w:iCs/>
        </w:rPr>
        <w:t>i</w:t>
      </w:r>
      <w:r w:rsidRPr="00995C5D">
        <w:rPr>
          <w:rFonts w:ascii="Times New Roman" w:hAnsi="Times New Roman" w:cs="Times New Roman"/>
        </w:rPr>
        <w:t xml:space="preserve">;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="00EF14C3">
        <w:rPr>
          <w:rFonts w:ascii="Times New Roman" w:eastAsiaTheme="minorEastAsia" w:hAnsi="Times New Roman" w:cs="Times New Roman"/>
        </w:rPr>
        <w:t xml:space="preserve"> </w:t>
      </w:r>
      <w:r w:rsidR="00EF14C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EF14C3">
        <w:rPr>
          <w:rFonts w:ascii="Times New Roman" w:hAnsi="Times New Roman" w:cs="Times New Roman"/>
        </w:rPr>
        <w:t xml:space="preserve">the </w:t>
      </w:r>
      <w:r w:rsidRPr="00995C5D">
        <w:rPr>
          <w:rFonts w:ascii="Times New Roman" w:hAnsi="Times New Roman" w:cs="Times New Roman"/>
        </w:rPr>
        <w:t xml:space="preserve">cell-specific seasonal dummy variable that take the value of </w:t>
      </w:r>
      <w:r w:rsidRPr="00995C5D">
        <w:rPr>
          <w:rFonts w:ascii="Times New Roman" w:hAnsi="Times New Roman" w:cs="Times New Roman"/>
        </w:rPr>
        <w:lastRenderedPageBreak/>
        <w:t xml:space="preserve">one when the period of observation is </w:t>
      </w:r>
      <w:r w:rsidR="00EF14C3">
        <w:rPr>
          <w:rFonts w:ascii="Times New Roman" w:hAnsi="Times New Roman" w:cs="Times New Roman"/>
        </w:rPr>
        <w:t xml:space="preserve">the </w:t>
      </w:r>
      <w:r w:rsidRPr="00995C5D">
        <w:rPr>
          <w:rFonts w:ascii="Times New Roman" w:hAnsi="Times New Roman" w:cs="Times New Roman"/>
        </w:rPr>
        <w:t xml:space="preserve">months </w:t>
      </w:r>
      <w:r w:rsidR="00EF14C3">
        <w:rPr>
          <w:rFonts w:ascii="Times New Roman" w:hAnsi="Times New Roman" w:cs="Times New Roman"/>
        </w:rPr>
        <w:t>of</w:t>
      </w:r>
      <w:r w:rsidRPr="00995C5D">
        <w:rPr>
          <w:rFonts w:ascii="Times New Roman" w:hAnsi="Times New Roman" w:cs="Times New Roman"/>
        </w:rPr>
        <w:t xml:space="preserve"> harvest</w:t>
      </w:r>
      <w:r w:rsidR="00EF14C3">
        <w:rPr>
          <w:rFonts w:ascii="Times New Roman" w:hAnsi="Times New Roman" w:cs="Times New Roman"/>
        </w:rPr>
        <w:t>, and zero otherwise</w:t>
      </w:r>
      <w:r w:rsidRPr="00995C5D">
        <w:rPr>
          <w:rFonts w:ascii="Times New Roman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95C5D">
        <w:rPr>
          <w:rFonts w:ascii="Times New Roman" w:hAnsi="Times New Roman" w:cs="Times New Roman"/>
        </w:rPr>
        <w:t xml:space="preserve"> is a cell fixed effect,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995C5D">
        <w:rPr>
          <w:rFonts w:ascii="Times New Roman" w:hAnsi="Times New Roman" w:cs="Times New Roman"/>
        </w:rPr>
        <w:t xml:space="preserve"> is a </w:t>
      </w:r>
      <w:r w:rsidR="00EF14C3">
        <w:rPr>
          <w:rFonts w:ascii="Times New Roman" w:hAnsi="Times New Roman" w:cs="Times New Roman"/>
        </w:rPr>
        <w:t>year</w:t>
      </w:r>
      <w:r w:rsidRPr="00995C5D">
        <w:rPr>
          <w:rFonts w:ascii="Times New Roman" w:hAnsi="Times New Roman" w:cs="Times New Roman"/>
        </w:rPr>
        <w:t>–</w:t>
      </w:r>
      <w:r w:rsidR="00EF14C3">
        <w:rPr>
          <w:rFonts w:ascii="Times New Roman" w:hAnsi="Times New Roman" w:cs="Times New Roman"/>
        </w:rPr>
        <w:t>month</w:t>
      </w:r>
      <w:r w:rsidRPr="00995C5D">
        <w:rPr>
          <w:rFonts w:ascii="Times New Roman" w:hAnsi="Times New Roman" w:cs="Times New Roman"/>
        </w:rPr>
        <w:t xml:space="preserve"> fixed effect.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95C5D">
        <w:rPr>
          <w:rFonts w:ascii="Times New Roman" w:hAnsi="Times New Roman" w:cs="Times New Roman"/>
        </w:rPr>
        <w:t xml:space="preserve"> is the error term.</w:t>
      </w:r>
    </w:p>
    <w:p w14:paraId="0D50A5AE" w14:textId="2C5454EB" w:rsidR="00D64282" w:rsidRPr="00995C5D" w:rsidRDefault="00D64282" w:rsidP="00D64282">
      <w:pPr>
        <w:spacing w:after="120" w:line="360" w:lineRule="auto"/>
        <w:ind w:left="-15" w:firstLine="375"/>
        <w:rPr>
          <w:rFonts w:ascii="Times New Roman" w:hAnsi="Times New Roman" w:cs="Times New Roman"/>
        </w:rPr>
      </w:pPr>
      <w:r w:rsidRPr="00995C5D">
        <w:rPr>
          <w:rFonts w:ascii="Times New Roman" w:hAnsi="Times New Roman" w:cs="Times New Roman"/>
        </w:rPr>
        <w:t>The estimated coefficient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Pr="00995C5D">
        <w:rPr>
          <w:rFonts w:ascii="Times New Roman" w:hAnsi="Times New Roman" w:cs="Times New Roman"/>
        </w:rPr>
        <w:t xml:space="preserve"> reflects the effect of </w:t>
      </w:r>
      <w:r w:rsidR="00D03C04">
        <w:rPr>
          <w:rFonts w:ascii="Times New Roman" w:hAnsi="Times New Roman" w:cs="Times New Roman"/>
        </w:rPr>
        <w:t>harvest</w:t>
      </w:r>
      <w:r w:rsidRPr="00995C5D">
        <w:rPr>
          <w:rFonts w:ascii="Times New Roman" w:hAnsi="Times New Roman" w:cs="Times New Roman"/>
        </w:rPr>
        <w:t xml:space="preserve"> on </w:t>
      </w:r>
      <w:r w:rsidR="00D03C04">
        <w:rPr>
          <w:rFonts w:ascii="Times New Roman" w:hAnsi="Times New Roman" w:cs="Times New Roman"/>
        </w:rPr>
        <w:t>incidents of social unrest</w:t>
      </w:r>
      <w:r w:rsidRPr="00995C5D">
        <w:rPr>
          <w:rFonts w:ascii="Times New Roman" w:hAnsi="Times New Roman" w:cs="Times New Roman"/>
        </w:rPr>
        <w:t xml:space="preserve"> </w:t>
      </w:r>
      <w:r w:rsidR="00D03C04">
        <w:rPr>
          <w:rFonts w:ascii="Times New Roman" w:hAnsi="Times New Roman" w:cs="Times New Roman"/>
        </w:rPr>
        <w:t xml:space="preserve">or civil conflict </w:t>
      </w:r>
      <w:r w:rsidRPr="00995C5D">
        <w:rPr>
          <w:rFonts w:ascii="Times New Roman" w:hAnsi="Times New Roman" w:cs="Times New Roman"/>
        </w:rPr>
        <w:t xml:space="preserve">in a hypothetical location with 100 percent cropland. A positive value of the coefficient implies that </w:t>
      </w:r>
      <w:r w:rsidR="00D03C04">
        <w:rPr>
          <w:rFonts w:ascii="Times New Roman" w:hAnsi="Times New Roman" w:cs="Times New Roman"/>
        </w:rPr>
        <w:t>in the harvest month</w:t>
      </w:r>
      <w:r w:rsidRPr="00995C5D">
        <w:rPr>
          <w:rFonts w:ascii="Times New Roman" w:hAnsi="Times New Roman" w:cs="Times New Roman"/>
        </w:rPr>
        <w:t xml:space="preserve"> </w:t>
      </w:r>
      <w:r w:rsidR="00D03C04">
        <w:rPr>
          <w:rFonts w:ascii="Times New Roman" w:hAnsi="Times New Roman" w:cs="Times New Roman"/>
        </w:rPr>
        <w:t>there is</w:t>
      </w:r>
      <w:r w:rsidRPr="00995C5D">
        <w:rPr>
          <w:rFonts w:ascii="Times New Roman" w:hAnsi="Times New Roman" w:cs="Times New Roman"/>
        </w:rPr>
        <w:t xml:space="preserve"> an increase in violence in </w:t>
      </w:r>
      <w:r w:rsidR="006443BD">
        <w:rPr>
          <w:rFonts w:ascii="Times New Roman" w:hAnsi="Times New Roman" w:cs="Times New Roman"/>
        </w:rPr>
        <w:t>agricultural cells</w:t>
      </w:r>
      <w:r w:rsidRPr="00995C5D">
        <w:rPr>
          <w:rFonts w:ascii="Times New Roman" w:hAnsi="Times New Roman" w:cs="Times New Roman"/>
        </w:rPr>
        <w:t xml:space="preserve"> relative to nonagricultural cell</w:t>
      </w:r>
      <w:r>
        <w:rPr>
          <w:rFonts w:ascii="Times New Roman" w:hAnsi="Times New Roman" w:cs="Times New Roman"/>
        </w:rPr>
        <w:t>s,</w:t>
      </w:r>
      <w:r w:rsidRPr="00995C5D">
        <w:rPr>
          <w:rFonts w:ascii="Times New Roman" w:hAnsi="Times New Roman" w:cs="Times New Roman"/>
        </w:rPr>
        <w:t xml:space="preserve"> and that this effect is more pronounced in cells with a higher fraction of cropland. </w:t>
      </w:r>
      <w:r w:rsidR="006443BD">
        <w:rPr>
          <w:rFonts w:ascii="Times New Roman" w:hAnsi="Times New Roman" w:cs="Times New Roman"/>
        </w:rPr>
        <w:t>While no cell has the cropland area fraction of 1, there are cells with nearly half or more of the area devoted to crop (namely rice) production. Nonetheless</w:t>
      </w:r>
      <w:r>
        <w:rPr>
          <w:rFonts w:ascii="Times New Roman" w:hAnsi="Times New Roman" w:cs="Times New Roman"/>
        </w:rPr>
        <w:t>, w</w:t>
      </w:r>
      <w:r w:rsidRPr="00995C5D">
        <w:rPr>
          <w:rFonts w:ascii="Times New Roman" w:hAnsi="Times New Roman" w:cs="Times New Roman"/>
        </w:rPr>
        <w:t xml:space="preserve">e scale the estimated coefficient </w:t>
      </w:r>
      <w:r w:rsidR="006443BD">
        <w:rPr>
          <w:rFonts w:ascii="Times New Roman" w:hAnsi="Times New Roman" w:cs="Times New Roman"/>
        </w:rPr>
        <w:t xml:space="preserve">by the expected cropland area fraction </w:t>
      </w:r>
      <w:r w:rsidRPr="00995C5D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 xml:space="preserve">we </w:t>
      </w:r>
      <w:r w:rsidRPr="00995C5D">
        <w:rPr>
          <w:rFonts w:ascii="Times New Roman" w:hAnsi="Times New Roman" w:cs="Times New Roman"/>
        </w:rPr>
        <w:t>present the magnitude of the impact.</w:t>
      </w:r>
    </w:p>
    <w:p w14:paraId="7FB003EA" w14:textId="77777777" w:rsidR="00887CCD" w:rsidRP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6404144F" w14:textId="4F7E2BF0" w:rsidR="001C60D6" w:rsidRPr="00994977" w:rsidRDefault="00887CCD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results-and-discussion"/>
      <w:bookmarkEnd w:id="5"/>
      <w:r w:rsidRPr="00994977">
        <w:rPr>
          <w:rFonts w:ascii="Times New Roman" w:hAnsi="Times New Roman" w:cs="Times New Roman"/>
          <w:b/>
          <w:bCs/>
          <w:sz w:val="28"/>
          <w:szCs w:val="28"/>
        </w:rPr>
        <w:t>4. Results and Discussion</w:t>
      </w:r>
    </w:p>
    <w:p w14:paraId="36EDB708" w14:textId="77777777" w:rsidR="0071235F" w:rsidRDefault="00712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0CF0AF" w14:textId="29081A82" w:rsidR="00887CCD" w:rsidRPr="006E75F5" w:rsidRDefault="00B47423" w:rsidP="00B4742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6E75F5">
        <w:rPr>
          <w:rFonts w:ascii="Times New Roman" w:hAnsi="Times New Roman" w:cs="Times New Roman"/>
          <w:b/>
          <w:bCs/>
        </w:rPr>
        <w:lastRenderedPageBreak/>
        <w:t>Table 2: Regression results</w:t>
      </w: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96"/>
        <w:gridCol w:w="1152"/>
        <w:gridCol w:w="1152"/>
        <w:gridCol w:w="1152"/>
        <w:gridCol w:w="1152"/>
        <w:gridCol w:w="1152"/>
        <w:gridCol w:w="1152"/>
        <w:gridCol w:w="1152"/>
      </w:tblGrid>
      <w:tr w:rsidR="00B47423" w:rsidRPr="00837F50" w14:paraId="254B9919" w14:textId="77777777" w:rsidTr="00B47423">
        <w:trPr>
          <w:cantSplit/>
          <w:tblHeader/>
          <w:jc w:val="center"/>
        </w:trPr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6E6F" w14:textId="77777777" w:rsidR="00B47423" w:rsidRPr="00837F50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6175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Conflict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83C6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Protests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F43B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Riots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6933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Violence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CDC6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Strategic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15B3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Explosion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35A9" w14:textId="77777777" w:rsidR="00B47423" w:rsidRPr="00B47423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Battle</w:t>
            </w:r>
          </w:p>
        </w:tc>
      </w:tr>
      <w:tr w:rsidR="00B47423" w:rsidRPr="00837F50" w14:paraId="21FB77BE" w14:textId="77777777" w:rsidTr="0071235F">
        <w:trPr>
          <w:cantSplit/>
          <w:trHeight w:val="432"/>
          <w:tblHeader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127F" w14:textId="77777777" w:rsidR="00B47423" w:rsidRPr="0071235F" w:rsidRDefault="00B47423" w:rsidP="001321A2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235F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Unbalanced panel: all countries, all years</w:t>
            </w:r>
          </w:p>
        </w:tc>
      </w:tr>
      <w:tr w:rsidR="00B47423" w:rsidRPr="00837F50" w14:paraId="5508E462" w14:textId="77777777" w:rsidTr="0007269A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7330" w14:textId="77777777" w:rsidR="00B47423" w:rsidRPr="00837F50" w:rsidRDefault="00B47423" w:rsidP="00B47423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Area × H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8D6FF" w14:textId="0DC24A0F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-0.252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CD752" w14:textId="1CA40F2B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-1.433***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20BC" w14:textId="166E3CDC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-0.145*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8BC3" w14:textId="0F1B21DA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0.586**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8BEA" w14:textId="68093EC3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0.300***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3BD7" w14:textId="45B9B3E1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8AE9" w14:textId="55BADC4C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0.327*</w:t>
            </w:r>
          </w:p>
        </w:tc>
      </w:tr>
      <w:tr w:rsidR="00B47423" w:rsidRPr="00837F50" w14:paraId="709A21FC" w14:textId="77777777" w:rsidTr="0007269A">
        <w:trPr>
          <w:cantSplit/>
          <w:jc w:val="center"/>
        </w:trPr>
        <w:tc>
          <w:tcPr>
            <w:tcW w:w="12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7857" w14:textId="77777777" w:rsidR="00B47423" w:rsidRPr="00837F50" w:rsidRDefault="00B47423" w:rsidP="00B47423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7B4B" w14:textId="3E3A2AAC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(0.564)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D658" w14:textId="56018229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(0.538)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CF9A" w14:textId="665F2549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(0.082)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146C" w14:textId="3580A16E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(0.250)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4608" w14:textId="661C21DA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(0.114)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46FBA" w14:textId="4DF04C1C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(0.087)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3611" w14:textId="47E4F4B5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(0.196)</w:t>
            </w:r>
          </w:p>
        </w:tc>
      </w:tr>
      <w:tr w:rsidR="00B47423" w:rsidRPr="00837F50" w14:paraId="40F690C2" w14:textId="77777777" w:rsidTr="00B47423">
        <w:trPr>
          <w:cantSplit/>
          <w:jc w:val="center"/>
        </w:trPr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AB65" w14:textId="77777777" w:rsidR="00B47423" w:rsidRPr="00837F50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Obs.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1C6E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8088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8958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C7B2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B028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ED16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36E3" w14:textId="7777777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40,644</w:t>
            </w:r>
          </w:p>
        </w:tc>
      </w:tr>
      <w:tr w:rsidR="00B47423" w:rsidRPr="00837F50" w14:paraId="6D86648C" w14:textId="77777777" w:rsidTr="00B47423">
        <w:trPr>
          <w:cantSplit/>
          <w:jc w:val="center"/>
        </w:trPr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4AB4" w14:textId="77777777" w:rsidR="00B47423" w:rsidRPr="00837F50" w:rsidRDefault="00B47423" w:rsidP="001321A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A845" w14:textId="2DE9C9D0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0.302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207A" w14:textId="1D8C641F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0.211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D81C" w14:textId="504260E7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0.124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AAAE" w14:textId="29C6F219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0.378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7608" w14:textId="13867F1B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0.207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D9CF" w14:textId="121A3C43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0.276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D049" w14:textId="033E8FAB" w:rsidR="00B47423" w:rsidRPr="00B47423" w:rsidRDefault="00B47423" w:rsidP="0071235F">
            <w:pPr>
              <w:spacing w:after="0" w:line="276" w:lineRule="auto"/>
              <w:ind w:firstLin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0.310</w:t>
            </w:r>
          </w:p>
        </w:tc>
      </w:tr>
      <w:tr w:rsidR="00CD7508" w:rsidRPr="00837F50" w14:paraId="1752E62A" w14:textId="77777777" w:rsidTr="004B6698">
        <w:trPr>
          <w:cantSplit/>
          <w:jc w:val="center"/>
        </w:trPr>
        <w:tc>
          <w:tcPr>
            <w:tcW w:w="9360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47FA" w14:textId="2FFFD38A" w:rsidR="00CD7508" w:rsidRPr="00B47423" w:rsidRDefault="00CD7508" w:rsidP="001321A2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bookmarkStart w:id="7" w:name="_Hlk115850610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Magnitude of the effect</w:t>
            </w:r>
            <w:r w:rsidRPr="0057594E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:</w:t>
            </w:r>
          </w:p>
        </w:tc>
      </w:tr>
      <w:tr w:rsidR="0057594E" w:rsidRPr="00837F50" w14:paraId="519055CC" w14:textId="239717DE" w:rsidTr="0057594E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1DA8" w14:textId="523EB7A8" w:rsidR="0057594E" w:rsidRPr="00837F50" w:rsidRDefault="0057594E" w:rsidP="0057594E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E(Incidents)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A3CD" w14:textId="0205FCBD" w:rsidR="0057594E" w:rsidRPr="00B47423" w:rsidRDefault="0071235F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CD48" w14:textId="11FAA8B3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2CE1" w14:textId="2A52D2AF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98E5" w14:textId="6DE2BE3A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450F" w14:textId="57E2E34B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2F50" w14:textId="091B7F11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CD65" w14:textId="74B3D0EF" w:rsidR="0057594E" w:rsidRPr="00B47423" w:rsidRDefault="00FE0D75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CD7508" w:rsidRPr="00837F50" w14:paraId="05D69E0C" w14:textId="77777777" w:rsidTr="0057594E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994F" w14:textId="431A3968" w:rsidR="00CD7508" w:rsidRDefault="00CD7508" w:rsidP="0057594E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Effect (%)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5CC5" w14:textId="086BB915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A8C9" w14:textId="72A290F7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-17.54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2234" w14:textId="0FD7BF7C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-19.42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F00B" w14:textId="043E7F87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11.24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B6F4" w14:textId="34511C82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11.57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8A21" w14:textId="3F176CB6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E582" w14:textId="04BDAA9C" w:rsidR="00CD7508" w:rsidRDefault="001A20D1" w:rsidP="00FE0D75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7.28</w:t>
            </w:r>
          </w:p>
        </w:tc>
      </w:tr>
      <w:bookmarkEnd w:id="7"/>
      <w:tr w:rsidR="0071235F" w:rsidRPr="00837F50" w14:paraId="5113AC63" w14:textId="77777777" w:rsidTr="0071235F">
        <w:trPr>
          <w:cantSplit/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3B81" w14:textId="77777777" w:rsidR="0071235F" w:rsidRPr="0071235F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235F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Balanced panel: all countries, years 2016 onward</w:t>
            </w:r>
          </w:p>
        </w:tc>
      </w:tr>
      <w:tr w:rsidR="0071235F" w:rsidRPr="00837F50" w14:paraId="7B6E82E6" w14:textId="77777777" w:rsidTr="00FC0805">
        <w:trPr>
          <w:cantSplit/>
          <w:jc w:val="center"/>
        </w:trPr>
        <w:tc>
          <w:tcPr>
            <w:tcW w:w="12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3AB6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Area × H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55C6" w14:textId="06AFFFF3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-0.370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57EF" w14:textId="35D5C864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-2.183**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3ED8" w14:textId="664B16BE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-0.211*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C834" w14:textId="1EEE6F14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0.912**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1D4D" w14:textId="1D6C8A7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0.438**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E578" w14:textId="00368DF1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0.195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05E9" w14:textId="5C196815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0.479</w:t>
            </w:r>
          </w:p>
        </w:tc>
      </w:tr>
      <w:tr w:rsidR="0071235F" w:rsidRPr="00837F50" w14:paraId="0D467C74" w14:textId="77777777" w:rsidTr="00FC0805">
        <w:trPr>
          <w:cantSplit/>
          <w:jc w:val="center"/>
        </w:trPr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A7CA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E281" w14:textId="3CA00D62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(0.886)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1479" w14:textId="003F0029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(0.891)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6D34" w14:textId="6E9AA74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(0.112)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34F69" w14:textId="232904C8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(0.390)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6215" w14:textId="31E8BFFE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(0.177)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B1E5" w14:textId="11801E0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(0.140)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781B" w14:textId="3EC2ED4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(0.301)</w:t>
            </w:r>
          </w:p>
        </w:tc>
      </w:tr>
      <w:tr w:rsidR="0071235F" w:rsidRPr="00837F50" w14:paraId="23AB942E" w14:textId="77777777" w:rsidTr="00B47423">
        <w:trPr>
          <w:cantSplit/>
          <w:jc w:val="center"/>
        </w:trPr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1D0B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Obs.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23F5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5C99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3752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012E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2AFD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F2DD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0904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25,848</w:t>
            </w:r>
          </w:p>
        </w:tc>
      </w:tr>
      <w:tr w:rsidR="0071235F" w:rsidRPr="00837F50" w14:paraId="6018CBDA" w14:textId="77777777" w:rsidTr="00B47423">
        <w:trPr>
          <w:cantSplit/>
          <w:jc w:val="center"/>
        </w:trPr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6542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3F75" w14:textId="7CEFEE26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0.292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6B54" w14:textId="1B9033D9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0.223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713A" w14:textId="0621D20B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0.122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6D46" w14:textId="5A83AB0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0.377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00E7" w14:textId="284C9972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0.168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7C1B" w14:textId="1DA76BD4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0.168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D7A7" w14:textId="4ED3888D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0.315</w:t>
            </w:r>
          </w:p>
        </w:tc>
      </w:tr>
      <w:tr w:rsidR="001A20D1" w:rsidRPr="00837F50" w14:paraId="32F6DCD8" w14:textId="77777777" w:rsidTr="00B65697">
        <w:trPr>
          <w:cantSplit/>
          <w:jc w:val="center"/>
        </w:trPr>
        <w:tc>
          <w:tcPr>
            <w:tcW w:w="9360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33ED" w14:textId="77777777" w:rsidR="001A20D1" w:rsidRPr="00B47423" w:rsidRDefault="001A20D1" w:rsidP="00B65697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Magnitude of the effect</w:t>
            </w:r>
            <w:r w:rsidRPr="0057594E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:</w:t>
            </w:r>
          </w:p>
        </w:tc>
      </w:tr>
      <w:tr w:rsidR="0071235F" w:rsidRPr="00837F50" w14:paraId="48288103" w14:textId="77777777" w:rsidTr="00F02618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DF5E" w14:textId="77777777" w:rsidR="0071235F" w:rsidRPr="00837F50" w:rsidRDefault="0071235F" w:rsidP="0071235F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bookmarkStart w:id="8" w:name="_Hlk115850745"/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E(Incidents)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098A" w14:textId="456A7CCC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DEA8" w14:textId="64AEC995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9F9C" w14:textId="238FE3CF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EF92" w14:textId="2004B011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B451" w14:textId="53B4CC97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6012" w14:textId="5A8F589D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4172" w14:textId="0B319BC7" w:rsidR="0071235F" w:rsidRPr="00B47423" w:rsidRDefault="00FE0D75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CD7508" w:rsidRPr="00837F50" w14:paraId="1034C96F" w14:textId="77777777" w:rsidTr="00F02618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0807" w14:textId="0BFAE18B" w:rsidR="00CD7508" w:rsidRDefault="001A20D1" w:rsidP="0071235F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Effect (%)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CDC9" w14:textId="1A5E54F4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584E" w14:textId="36553CFB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-20.77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A2B2" w14:textId="78387D8D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-24.26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51F7" w14:textId="26EC766D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12.32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5FA1" w14:textId="2775C2F3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13.57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505F" w14:textId="4B720B34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1EC9" w14:textId="40B9B427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9.1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bookmarkEnd w:id="8"/>
      <w:tr w:rsidR="0071235F" w:rsidRPr="00837F50" w14:paraId="742FED7B" w14:textId="77777777" w:rsidTr="0071235F">
        <w:trPr>
          <w:cantSplit/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4E27" w14:textId="77777777" w:rsidR="0071235F" w:rsidRPr="0071235F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235F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Balanced panel: countries excluding Thailand and Philippines, all years</w:t>
            </w:r>
          </w:p>
        </w:tc>
      </w:tr>
      <w:tr w:rsidR="0071235F" w:rsidRPr="00837F50" w14:paraId="1F0D6D84" w14:textId="77777777" w:rsidTr="003E1B7D">
        <w:trPr>
          <w:cantSplit/>
          <w:jc w:val="center"/>
        </w:trPr>
        <w:tc>
          <w:tcPr>
            <w:tcW w:w="1296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742D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Area × H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3E327" w14:textId="7047AE9C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-0.423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0BEF" w14:textId="437CBFE2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-1.048*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B593" w14:textId="0167FFCE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-0.064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EBBDD" w14:textId="3C2825A9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0.278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09F8" w14:textId="6B39A49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0.251*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D2C29" w14:textId="47F009CD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FC29" w14:textId="5EB4E09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</w:tr>
      <w:tr w:rsidR="0071235F" w:rsidRPr="00837F50" w14:paraId="20553111" w14:textId="77777777" w:rsidTr="003E1B7D">
        <w:trPr>
          <w:cantSplit/>
          <w:jc w:val="center"/>
        </w:trPr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1267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F51F" w14:textId="61821AF8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(0.484)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A232" w14:textId="70140AB8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(0.604)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1C47" w14:textId="3EC1CA48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(0.077)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5878A" w14:textId="05306333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(0.186)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D985F" w14:textId="1D652442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(0.144)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B22D2" w14:textId="685B7714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(0.122)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8F81" w14:textId="0CC4DE2E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hAnsi="Times New Roman" w:cs="Times New Roman"/>
                <w:sz w:val="20"/>
                <w:szCs w:val="20"/>
              </w:rPr>
              <w:t>(0.144)</w:t>
            </w:r>
          </w:p>
        </w:tc>
      </w:tr>
      <w:tr w:rsidR="0071235F" w:rsidRPr="00837F50" w14:paraId="7E9AE755" w14:textId="77777777" w:rsidTr="0071235F">
        <w:trPr>
          <w:cantSplit/>
          <w:jc w:val="center"/>
        </w:trPr>
        <w:tc>
          <w:tcPr>
            <w:tcW w:w="1296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0D8C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Obs.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B2CB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BDD5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750A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C03F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12E6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A526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60FF" w14:textId="77777777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25,920</w:t>
            </w:r>
          </w:p>
        </w:tc>
      </w:tr>
      <w:tr w:rsidR="0071235F" w:rsidRPr="00837F50" w14:paraId="42927DFD" w14:textId="77777777" w:rsidTr="0071235F">
        <w:trPr>
          <w:cantSplit/>
          <w:jc w:val="center"/>
        </w:trPr>
        <w:tc>
          <w:tcPr>
            <w:tcW w:w="129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99C6" w14:textId="77777777" w:rsidR="0071235F" w:rsidRPr="00837F50" w:rsidRDefault="0071235F" w:rsidP="0071235F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837F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F800" w14:textId="242A76C5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0.276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053F" w14:textId="0C1B2C7A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0.203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1548" w14:textId="0985EDAF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0.073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4B5D" w14:textId="71FC103D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0.251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1150" w14:textId="4E1ADD3F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0.235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24CC" w14:textId="77A69825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0.290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6DF8" w14:textId="4D27B09D" w:rsidR="0071235F" w:rsidRPr="00B47423" w:rsidRDefault="0071235F" w:rsidP="0071235F">
            <w:pPr>
              <w:spacing w:after="0" w:line="276" w:lineRule="auto"/>
              <w:ind w:firstLine="24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4742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0.304</w:t>
            </w:r>
          </w:p>
        </w:tc>
      </w:tr>
      <w:tr w:rsidR="001A20D1" w:rsidRPr="00837F50" w14:paraId="1A0ED11F" w14:textId="77777777" w:rsidTr="00B65697">
        <w:trPr>
          <w:cantSplit/>
          <w:jc w:val="center"/>
        </w:trPr>
        <w:tc>
          <w:tcPr>
            <w:tcW w:w="9360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2AD4" w14:textId="77777777" w:rsidR="001A20D1" w:rsidRPr="00B47423" w:rsidRDefault="001A20D1" w:rsidP="00B65697">
            <w:pP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Magnitude of the effect</w:t>
            </w:r>
            <w:r w:rsidRPr="0057594E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:</w:t>
            </w:r>
          </w:p>
        </w:tc>
      </w:tr>
      <w:tr w:rsidR="0071235F" w:rsidRPr="00837F50" w14:paraId="6EC7A058" w14:textId="77777777" w:rsidTr="00CD7508">
        <w:trPr>
          <w:cantSplit/>
          <w:jc w:val="center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3EF5" w14:textId="77777777" w:rsidR="0071235F" w:rsidRPr="00837F50" w:rsidRDefault="0071235F" w:rsidP="0071235F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E(Incidents)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15CB" w14:textId="3030CE56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EFF4" w14:textId="0AA69C10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29FF" w14:textId="10CFAB1F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0AFB" w14:textId="53EC7E59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1606" w14:textId="2B5AD560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D207" w14:textId="6BA0B316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151C" w14:textId="7B29BA14" w:rsidR="0071235F" w:rsidRPr="00B47423" w:rsidRDefault="009F7C53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CD7508" w:rsidRPr="00837F50" w14:paraId="1A657639" w14:textId="77777777" w:rsidTr="009F7C53">
        <w:trPr>
          <w:cantSplit/>
          <w:jc w:val="center"/>
        </w:trPr>
        <w:tc>
          <w:tcPr>
            <w:tcW w:w="1296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DBF2" w14:textId="32AB50F6" w:rsidR="00CD7508" w:rsidRDefault="001A20D1" w:rsidP="0071235F">
            <w:pPr>
              <w:spacing w:after="0" w:line="276" w:lineRule="auto"/>
              <w:ind w:firstLine="18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Effect (%)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979F" w14:textId="277BE701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-1.80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9E41" w14:textId="3003F6C0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-12.8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083D" w14:textId="31997995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-13.45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0A30" w14:textId="27AD3B55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9.94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C15C" w14:textId="7820A5F2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ABE1" w14:textId="321B0482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BF31" w14:textId="569BEC91" w:rsidR="00CD7508" w:rsidRDefault="001A20D1" w:rsidP="009F7C53">
            <w:pPr>
              <w:spacing w:after="0" w:line="276" w:lineRule="auto"/>
              <w:ind w:right="335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A20D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</w:t>
            </w:r>
          </w:p>
        </w:tc>
      </w:tr>
    </w:tbl>
    <w:p w14:paraId="2C9A230D" w14:textId="526010B4" w:rsidR="00B47423" w:rsidRPr="00B47423" w:rsidRDefault="00B47423" w:rsidP="00B47423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B47423">
        <w:rPr>
          <w:rFonts w:ascii="Times New Roman" w:hAnsi="Times New Roman" w:cs="Times New Roman"/>
          <w:sz w:val="20"/>
          <w:szCs w:val="20"/>
        </w:rPr>
        <w:t xml:space="preserve">Note: the </w:t>
      </w:r>
      <w:r>
        <w:rPr>
          <w:rFonts w:ascii="Times New Roman" w:hAnsi="Times New Roman" w:cs="Times New Roman"/>
          <w:sz w:val="20"/>
          <w:szCs w:val="20"/>
        </w:rPr>
        <w:t>outcome</w:t>
      </w:r>
      <w:r w:rsidRPr="00B47423">
        <w:rPr>
          <w:rFonts w:ascii="Times New Roman" w:hAnsi="Times New Roman" w:cs="Times New Roman"/>
          <w:sz w:val="20"/>
          <w:szCs w:val="20"/>
        </w:rPr>
        <w:t xml:space="preserve"> variable is a </w:t>
      </w:r>
      <w:r>
        <w:rPr>
          <w:rFonts w:ascii="Times New Roman" w:hAnsi="Times New Roman" w:cs="Times New Roman"/>
          <w:sz w:val="20"/>
          <w:szCs w:val="20"/>
        </w:rPr>
        <w:t>count</w:t>
      </w:r>
      <w:r w:rsidRPr="00B47423">
        <w:rPr>
          <w:rFonts w:ascii="Times New Roman" w:hAnsi="Times New Roman" w:cs="Times New Roman"/>
          <w:sz w:val="20"/>
          <w:szCs w:val="20"/>
        </w:rPr>
        <w:t xml:space="preserve"> variable that depicts the </w:t>
      </w:r>
      <w:r>
        <w:rPr>
          <w:rFonts w:ascii="Times New Roman" w:hAnsi="Times New Roman" w:cs="Times New Roman"/>
          <w:sz w:val="20"/>
          <w:szCs w:val="20"/>
        </w:rPr>
        <w:t>number of events in a cell during a year-month</w:t>
      </w:r>
      <w:r w:rsidRPr="00B4742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the treatment variable</w:t>
      </w:r>
      <w:r w:rsidRPr="00B4742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Pr="00B47423">
        <w:rPr>
          <w:rFonts w:ascii="Times New Roman" w:hAnsi="Times New Roman" w:cs="Times New Roman"/>
          <w:sz w:val="20"/>
          <w:szCs w:val="20"/>
        </w:rPr>
        <w:t>the cropland area fraction in the cell</w:t>
      </w:r>
      <w:r>
        <w:rPr>
          <w:rFonts w:ascii="Times New Roman" w:hAnsi="Times New Roman" w:cs="Times New Roman"/>
          <w:sz w:val="20"/>
          <w:szCs w:val="20"/>
        </w:rPr>
        <w:t xml:space="preserve"> interacted with the harvest-month binary variable</w:t>
      </w:r>
      <w:r w:rsidR="008C536B">
        <w:rPr>
          <w:rFonts w:ascii="Times New Roman" w:hAnsi="Times New Roman" w:cs="Times New Roman"/>
          <w:sz w:val="20"/>
          <w:szCs w:val="20"/>
        </w:rPr>
        <w:t xml:space="preserve">; the column headed by ‘Conflict’ combines all event types, the other </w:t>
      </w:r>
      <w:r w:rsidR="001A20D1">
        <w:rPr>
          <w:rFonts w:ascii="Times New Roman" w:hAnsi="Times New Roman" w:cs="Times New Roman"/>
          <w:sz w:val="20"/>
          <w:szCs w:val="20"/>
        </w:rPr>
        <w:t xml:space="preserve">six </w:t>
      </w:r>
      <w:r w:rsidR="008C536B">
        <w:rPr>
          <w:rFonts w:ascii="Times New Roman" w:hAnsi="Times New Roman" w:cs="Times New Roman"/>
          <w:sz w:val="20"/>
          <w:szCs w:val="20"/>
        </w:rPr>
        <w:t xml:space="preserve">columns </w:t>
      </w:r>
      <w:r w:rsidR="001A20D1">
        <w:rPr>
          <w:rFonts w:ascii="Times New Roman" w:hAnsi="Times New Roman" w:cs="Times New Roman"/>
          <w:sz w:val="20"/>
          <w:szCs w:val="20"/>
        </w:rPr>
        <w:t>represent the</w:t>
      </w:r>
      <w:r w:rsidR="008C536B">
        <w:rPr>
          <w:rFonts w:ascii="Times New Roman" w:hAnsi="Times New Roman" w:cs="Times New Roman"/>
          <w:sz w:val="20"/>
          <w:szCs w:val="20"/>
        </w:rPr>
        <w:t xml:space="preserve"> separate event types; </w:t>
      </w:r>
      <w:r w:rsidRPr="00B47423">
        <w:rPr>
          <w:rFonts w:ascii="Times New Roman" w:hAnsi="Times New Roman" w:cs="Times New Roman"/>
          <w:sz w:val="20"/>
          <w:szCs w:val="20"/>
        </w:rPr>
        <w:t>all regressions include cell and year</w:t>
      </w:r>
      <w:r w:rsidR="008C536B">
        <w:rPr>
          <w:rFonts w:ascii="Times New Roman" w:hAnsi="Times New Roman" w:cs="Times New Roman"/>
          <w:sz w:val="20"/>
          <w:szCs w:val="20"/>
        </w:rPr>
        <w:t>-month</w:t>
      </w:r>
      <w:r w:rsidRPr="00B47423">
        <w:rPr>
          <w:rFonts w:ascii="Times New Roman" w:hAnsi="Times New Roman" w:cs="Times New Roman"/>
          <w:sz w:val="20"/>
          <w:szCs w:val="20"/>
        </w:rPr>
        <w:t xml:space="preserve"> fixed effects; the values in parentheses are standard errors adjusted to clustering at the level of a cell and year</w:t>
      </w:r>
      <w:r w:rsidR="008C536B">
        <w:rPr>
          <w:rFonts w:ascii="Times New Roman" w:hAnsi="Times New Roman" w:cs="Times New Roman"/>
          <w:sz w:val="20"/>
          <w:szCs w:val="20"/>
        </w:rPr>
        <w:t>-month</w:t>
      </w:r>
      <w:r w:rsidRPr="00B47423">
        <w:rPr>
          <w:rFonts w:ascii="Times New Roman" w:hAnsi="Times New Roman" w:cs="Times New Roman"/>
          <w:sz w:val="20"/>
          <w:szCs w:val="20"/>
        </w:rPr>
        <w:t>; ***, **, and * denote 0.01, 0.05, and 0.10 statistical significance levels.</w:t>
      </w:r>
      <w:r w:rsidR="001A20D1">
        <w:rPr>
          <w:rFonts w:ascii="Times New Roman" w:hAnsi="Times New Roman" w:cs="Times New Roman"/>
          <w:sz w:val="20"/>
          <w:szCs w:val="20"/>
        </w:rPr>
        <w:t xml:space="preserve"> The effect magnitudes, presented in percent terms, are calculated as:  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/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×100%</m:t>
        </m:r>
      </m:oMath>
      <w:r w:rsidR="006E75F5">
        <w:rPr>
          <w:rFonts w:ascii="Times New Roman" w:eastAsiaTheme="minorEastAsia" w:hAnsi="Times New Roman" w:cs="Times New Roman"/>
          <w:sz w:val="20"/>
          <w:szCs w:val="20"/>
        </w:rPr>
        <w:t xml:space="preserve">, where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</m:acc>
      </m:oMath>
      <w:r w:rsidR="006E75F5">
        <w:rPr>
          <w:rFonts w:ascii="Times New Roman" w:eastAsiaTheme="minorEastAsia" w:hAnsi="Times New Roman" w:cs="Times New Roman"/>
          <w:sz w:val="20"/>
          <w:szCs w:val="20"/>
        </w:rPr>
        <w:t xml:space="preserve"> is the parameter estimate,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</m:acc>
      </m:oMath>
      <w:r w:rsidR="006E75F5">
        <w:rPr>
          <w:rFonts w:ascii="Times New Roman" w:eastAsiaTheme="minorEastAsia" w:hAnsi="Times New Roman" w:cs="Times New Roman"/>
          <w:sz w:val="20"/>
          <w:szCs w:val="20"/>
        </w:rPr>
        <w:t xml:space="preserve"> is the average cropland area fraction (0.06),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 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acc>
      </m:oMath>
      <w:r w:rsidR="006E75F5">
        <w:rPr>
          <w:rFonts w:ascii="Times New Roman" w:eastAsiaTheme="minorEastAsia" w:hAnsi="Times New Roman" w:cs="Times New Roman"/>
          <w:sz w:val="20"/>
          <w:szCs w:val="20"/>
        </w:rPr>
        <w:t xml:space="preserve"> is the unconditional expectation of incidents denoted by </w:t>
      </w:r>
      <w:r w:rsidR="006E75F5">
        <w:rPr>
          <w:rFonts w:ascii="Times New Roman" w:eastAsia="Arial" w:hAnsi="Times New Roman" w:cs="Times New Roman"/>
          <w:color w:val="000000"/>
          <w:sz w:val="20"/>
          <w:szCs w:val="20"/>
        </w:rPr>
        <w:t>E(Incidents)</w:t>
      </w:r>
      <w:r w:rsidR="006E75F5">
        <w:rPr>
          <w:rFonts w:ascii="Times New Roman" w:eastAsiaTheme="minorEastAsia" w:hAnsi="Times New Roman" w:cs="Times New Roman"/>
          <w:sz w:val="20"/>
          <w:szCs w:val="20"/>
        </w:rPr>
        <w:t xml:space="preserve"> in the table. </w:t>
      </w:r>
    </w:p>
    <w:p w14:paraId="7021D59F" w14:textId="77777777" w:rsidR="00887CCD" w:rsidRP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426E0F35" w14:textId="77777777" w:rsidR="006E75F5" w:rsidRDefault="006E75F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conclusion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8C01BB" w14:textId="2DE4ED3D" w:rsidR="001C60D6" w:rsidRPr="00994977" w:rsidRDefault="00887CCD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7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Conclusion</w:t>
      </w:r>
    </w:p>
    <w:p w14:paraId="58B36B6C" w14:textId="77777777" w:rsidR="00887CCD" w:rsidRPr="00887CCD" w:rsidRDefault="00887CCD" w:rsidP="00887CCD">
      <w:pPr>
        <w:spacing w:after="120" w:line="360" w:lineRule="auto"/>
        <w:rPr>
          <w:rFonts w:ascii="Times New Roman" w:hAnsi="Times New Roman" w:cs="Times New Roman"/>
        </w:rPr>
      </w:pPr>
    </w:p>
    <w:p w14:paraId="548A2F09" w14:textId="77777777" w:rsidR="00887CCD" w:rsidRDefault="00887CCD">
      <w:pPr>
        <w:rPr>
          <w:rFonts w:ascii="Times New Roman" w:hAnsi="Times New Roman" w:cs="Times New Roman"/>
        </w:rPr>
      </w:pPr>
      <w:bookmarkStart w:id="10" w:name="references"/>
      <w:bookmarkEnd w:id="9"/>
      <w:r>
        <w:rPr>
          <w:rFonts w:ascii="Times New Roman" w:hAnsi="Times New Roman" w:cs="Times New Roman"/>
        </w:rPr>
        <w:br w:type="page"/>
      </w:r>
    </w:p>
    <w:p w14:paraId="152B0D0C" w14:textId="60B32B1F" w:rsidR="001C60D6" w:rsidRPr="00994977" w:rsidRDefault="00000000" w:rsidP="00887CCD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497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2FA03BFC" w14:textId="3BA8E5D7" w:rsidR="001C60D6" w:rsidRPr="00887CCD" w:rsidRDefault="00000000" w:rsidP="002F7116">
      <w:pPr>
        <w:spacing w:after="120" w:line="360" w:lineRule="auto"/>
        <w:ind w:left="360" w:hanging="360"/>
        <w:rPr>
          <w:rFonts w:ascii="Times New Roman" w:hAnsi="Times New Roman" w:cs="Times New Roman"/>
        </w:rPr>
      </w:pPr>
      <w:r w:rsidRPr="00887CCD">
        <w:rPr>
          <w:rFonts w:ascii="Times New Roman" w:hAnsi="Times New Roman" w:cs="Times New Roman"/>
        </w:rPr>
        <w:t>Monfreda, C., N. Ramankutty, and J. A. Foley (2008), Farming the Planet: 2. Geographic</w:t>
      </w:r>
      <w:r w:rsidR="002F7116">
        <w:rPr>
          <w:rFonts w:ascii="Times New Roman" w:hAnsi="Times New Roman" w:cs="Times New Roman"/>
        </w:rPr>
        <w:t xml:space="preserve"> </w:t>
      </w:r>
      <w:r w:rsidRPr="00887CCD">
        <w:rPr>
          <w:rFonts w:ascii="Times New Roman" w:hAnsi="Times New Roman" w:cs="Times New Roman"/>
        </w:rPr>
        <w:t xml:space="preserve">Distribution of Crop Areas, Yields, Physiological Types, and Net Primary Production in the Year 2000, </w:t>
      </w:r>
      <w:r w:rsidRPr="00887CCD">
        <w:rPr>
          <w:rFonts w:ascii="Times New Roman" w:hAnsi="Times New Roman" w:cs="Times New Roman"/>
          <w:i/>
          <w:iCs/>
        </w:rPr>
        <w:t>Global Biogeochemical Cycles 22</w:t>
      </w:r>
      <w:r w:rsidRPr="00887CCD">
        <w:rPr>
          <w:rFonts w:ascii="Times New Roman" w:hAnsi="Times New Roman" w:cs="Times New Roman"/>
        </w:rPr>
        <w:t>, GB1022</w:t>
      </w:r>
    </w:p>
    <w:p w14:paraId="3129F5FC" w14:textId="77777777" w:rsidR="001C60D6" w:rsidRPr="00887CCD" w:rsidRDefault="00000000" w:rsidP="002F7116">
      <w:pPr>
        <w:spacing w:after="120" w:line="360" w:lineRule="auto"/>
        <w:ind w:left="360" w:hanging="360"/>
        <w:rPr>
          <w:rFonts w:ascii="Times New Roman" w:hAnsi="Times New Roman" w:cs="Times New Roman"/>
        </w:rPr>
      </w:pPr>
      <w:r w:rsidRPr="00887CCD">
        <w:rPr>
          <w:rFonts w:ascii="Times New Roman" w:hAnsi="Times New Roman" w:cs="Times New Roman"/>
        </w:rPr>
        <w:t xml:space="preserve">Raleigh, C., A. Linke, H. Hegre, and J. Karlsen (2010). Introducing ACLED: An Armed Conflict Location and Event Dataset: Special Data Feature. </w:t>
      </w:r>
      <w:r w:rsidRPr="00887CCD">
        <w:rPr>
          <w:rFonts w:ascii="Times New Roman" w:hAnsi="Times New Roman" w:cs="Times New Roman"/>
          <w:i/>
          <w:iCs/>
        </w:rPr>
        <w:t>Journal of Peace Research 47(5)</w:t>
      </w:r>
      <w:r w:rsidRPr="00887CCD">
        <w:rPr>
          <w:rFonts w:ascii="Times New Roman" w:hAnsi="Times New Roman" w:cs="Times New Roman"/>
        </w:rPr>
        <w:t>, 651–660.</w:t>
      </w:r>
    </w:p>
    <w:p w14:paraId="31CE8A4E" w14:textId="77777777" w:rsidR="001C60D6" w:rsidRPr="00887CCD" w:rsidRDefault="00000000" w:rsidP="002F7116">
      <w:pPr>
        <w:spacing w:after="120" w:line="360" w:lineRule="auto"/>
        <w:ind w:left="360" w:hanging="360"/>
        <w:rPr>
          <w:rFonts w:ascii="Times New Roman" w:hAnsi="Times New Roman" w:cs="Times New Roman"/>
        </w:rPr>
      </w:pPr>
      <w:r w:rsidRPr="00887CCD">
        <w:rPr>
          <w:rFonts w:ascii="Times New Roman" w:hAnsi="Times New Roman" w:cs="Times New Roman"/>
        </w:rPr>
        <w:t xml:space="preserve">Sacks, W.J., D. Deryng, J.A. Foley, and N. Ramankutty (2010). Crop Planting Dates: An Analysis of Global Patterns. </w:t>
      </w:r>
      <w:r w:rsidRPr="00887CCD">
        <w:rPr>
          <w:rFonts w:ascii="Times New Roman" w:hAnsi="Times New Roman" w:cs="Times New Roman"/>
          <w:i/>
          <w:iCs/>
        </w:rPr>
        <w:t>Global Ecology and Biogeography 19</w:t>
      </w:r>
      <w:r w:rsidRPr="00887CCD">
        <w:rPr>
          <w:rFonts w:ascii="Times New Roman" w:hAnsi="Times New Roman" w:cs="Times New Roman"/>
        </w:rPr>
        <w:t>, 607-620</w:t>
      </w:r>
      <w:bookmarkEnd w:id="10"/>
    </w:p>
    <w:sectPr w:rsidR="001C60D6" w:rsidRPr="00887CCD"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EC0F" w14:textId="77777777" w:rsidR="00762958" w:rsidRDefault="00762958">
      <w:pPr>
        <w:spacing w:after="0"/>
      </w:pPr>
      <w:r>
        <w:separator/>
      </w:r>
    </w:p>
  </w:endnote>
  <w:endnote w:type="continuationSeparator" w:id="0">
    <w:p w14:paraId="0A441B00" w14:textId="77777777" w:rsidR="00762958" w:rsidRDefault="00762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4288" w14:textId="77777777" w:rsidR="00762958" w:rsidRDefault="00762958">
      <w:r>
        <w:separator/>
      </w:r>
    </w:p>
  </w:footnote>
  <w:footnote w:type="continuationSeparator" w:id="0">
    <w:p w14:paraId="699DE612" w14:textId="77777777" w:rsidR="00762958" w:rsidRDefault="00762958">
      <w:r>
        <w:continuationSeparator/>
      </w:r>
    </w:p>
  </w:footnote>
  <w:footnote w:id="1">
    <w:p w14:paraId="18041CF1" w14:textId="1D70EB1C" w:rsidR="00220DDC" w:rsidRPr="00994977" w:rsidRDefault="00220DDC" w:rsidP="00994977">
      <w:pPr>
        <w:pStyle w:val="FootnoteText"/>
        <w:spacing w:after="120"/>
        <w:rPr>
          <w:rFonts w:ascii="Times New Roman" w:hAnsi="Times New Roman" w:cs="Times New Roman"/>
          <w:sz w:val="20"/>
          <w:szCs w:val="20"/>
        </w:rPr>
      </w:pPr>
      <w:r w:rsidRPr="00994977">
        <w:rPr>
          <w:rFonts w:ascii="Times New Roman" w:hAnsi="Times New Roman" w:cs="Times New Roman"/>
          <w:sz w:val="20"/>
          <w:szCs w:val="20"/>
        </w:rPr>
        <w:footnoteRef/>
      </w:r>
      <w:r w:rsidRPr="00994977">
        <w:rPr>
          <w:rFonts w:ascii="Times New Roman" w:hAnsi="Times New Roman" w:cs="Times New Roman"/>
          <w:sz w:val="20"/>
          <w:szCs w:val="20"/>
        </w:rPr>
        <w:t xml:space="preserve"> Preliminary and incomplete.</w:t>
      </w:r>
    </w:p>
  </w:footnote>
  <w:footnote w:id="2">
    <w:p w14:paraId="4D43BEE1" w14:textId="49AB8EAE" w:rsidR="00220DDC" w:rsidRPr="00994977" w:rsidRDefault="00220DDC" w:rsidP="00994977">
      <w:pPr>
        <w:pStyle w:val="FootnoteText"/>
        <w:spacing w:after="120"/>
        <w:rPr>
          <w:rFonts w:ascii="Times New Roman" w:hAnsi="Times New Roman" w:cs="Times New Roman"/>
          <w:sz w:val="20"/>
          <w:szCs w:val="20"/>
        </w:rPr>
      </w:pPr>
      <w:r w:rsidRPr="00994977">
        <w:rPr>
          <w:rFonts w:ascii="Times New Roman" w:hAnsi="Times New Roman" w:cs="Times New Roman"/>
          <w:sz w:val="20"/>
          <w:szCs w:val="20"/>
        </w:rPr>
        <w:footnoteRef/>
      </w:r>
      <w:r w:rsidRPr="00994977">
        <w:rPr>
          <w:rFonts w:ascii="Times New Roman" w:hAnsi="Times New Roman" w:cs="Times New Roman"/>
          <w:sz w:val="20"/>
          <w:szCs w:val="20"/>
        </w:rPr>
        <w:t xml:space="preserve"> Department of Government and International Relations, University of Sydney</w:t>
      </w:r>
    </w:p>
  </w:footnote>
  <w:footnote w:id="3">
    <w:p w14:paraId="23735730" w14:textId="0A08E9AB" w:rsidR="00220DDC" w:rsidRPr="00994977" w:rsidRDefault="00220DDC" w:rsidP="00994977">
      <w:pPr>
        <w:pStyle w:val="FootnoteText"/>
        <w:spacing w:after="120"/>
        <w:rPr>
          <w:rFonts w:ascii="Times New Roman" w:hAnsi="Times New Roman" w:cs="Times New Roman"/>
          <w:sz w:val="20"/>
          <w:szCs w:val="20"/>
        </w:rPr>
      </w:pPr>
      <w:r w:rsidRPr="00994977">
        <w:rPr>
          <w:rFonts w:ascii="Times New Roman" w:hAnsi="Times New Roman" w:cs="Times New Roman"/>
          <w:sz w:val="20"/>
          <w:szCs w:val="20"/>
        </w:rPr>
        <w:footnoteRef/>
      </w:r>
      <w:r w:rsidRPr="00994977">
        <w:rPr>
          <w:rFonts w:ascii="Times New Roman" w:hAnsi="Times New Roman" w:cs="Times New Roman"/>
          <w:sz w:val="20"/>
          <w:szCs w:val="20"/>
        </w:rPr>
        <w:t xml:space="preserve"> School of Economics, University of Sydney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284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20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0D6"/>
    <w:rsid w:val="00017C34"/>
    <w:rsid w:val="00037E5A"/>
    <w:rsid w:val="000A1FC6"/>
    <w:rsid w:val="000A37A3"/>
    <w:rsid w:val="0014057E"/>
    <w:rsid w:val="001534B5"/>
    <w:rsid w:val="001A20D1"/>
    <w:rsid w:val="001A6F2C"/>
    <w:rsid w:val="001C60D6"/>
    <w:rsid w:val="00220DDC"/>
    <w:rsid w:val="002C1A02"/>
    <w:rsid w:val="002F7116"/>
    <w:rsid w:val="00393C6E"/>
    <w:rsid w:val="003D741B"/>
    <w:rsid w:val="003E660A"/>
    <w:rsid w:val="00424CCD"/>
    <w:rsid w:val="00446593"/>
    <w:rsid w:val="00462306"/>
    <w:rsid w:val="004A4494"/>
    <w:rsid w:val="0057594E"/>
    <w:rsid w:val="00593B8B"/>
    <w:rsid w:val="005C30C2"/>
    <w:rsid w:val="005F6BDC"/>
    <w:rsid w:val="00611E80"/>
    <w:rsid w:val="006443BD"/>
    <w:rsid w:val="006C4523"/>
    <w:rsid w:val="006D62FC"/>
    <w:rsid w:val="006D7BD4"/>
    <w:rsid w:val="006E0BD1"/>
    <w:rsid w:val="006E75F5"/>
    <w:rsid w:val="0071235F"/>
    <w:rsid w:val="00762958"/>
    <w:rsid w:val="00790B6D"/>
    <w:rsid w:val="00807A2F"/>
    <w:rsid w:val="00843118"/>
    <w:rsid w:val="00853E74"/>
    <w:rsid w:val="008623AF"/>
    <w:rsid w:val="00887CCD"/>
    <w:rsid w:val="008C536B"/>
    <w:rsid w:val="008E29FE"/>
    <w:rsid w:val="00994977"/>
    <w:rsid w:val="009F0490"/>
    <w:rsid w:val="009F7C53"/>
    <w:rsid w:val="00A84783"/>
    <w:rsid w:val="00B47423"/>
    <w:rsid w:val="00C92836"/>
    <w:rsid w:val="00CD7508"/>
    <w:rsid w:val="00CE629C"/>
    <w:rsid w:val="00D03C04"/>
    <w:rsid w:val="00D10528"/>
    <w:rsid w:val="00D64282"/>
    <w:rsid w:val="00D95AF6"/>
    <w:rsid w:val="00DE7FE4"/>
    <w:rsid w:val="00E05E4B"/>
    <w:rsid w:val="00E85F87"/>
    <w:rsid w:val="00EB3D7A"/>
    <w:rsid w:val="00EF14C3"/>
    <w:rsid w:val="00F54D6A"/>
    <w:rsid w:val="00F65AB2"/>
    <w:rsid w:val="00FB630D"/>
    <w:rsid w:val="00FC523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4B27"/>
  <w15:docId w15:val="{DC36837D-7A6C-4C5B-B2B0-776FABD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87CCD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A20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A6F2C"/>
    <w:rPr>
      <w:color w:val="605E5C"/>
      <w:shd w:val="clear" w:color="auto" w:fill="E1DFDD"/>
    </w:rPr>
  </w:style>
  <w:style w:type="table" w:styleId="TableGrid">
    <w:name w:val="Table Grid"/>
    <w:basedOn w:val="TableNormal"/>
    <w:rsid w:val="00D105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eddat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ge.nelson.wisc.edu/data-and-models/dataset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mplemaps.com/data/world-c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25BA2-9D65-415C-AD73-12D45DD3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Shocks and Social Unrest in Southeast Asia</vt:lpstr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Shocks and Social Unrest in Southeast Asia</dc:title>
  <dc:creator>David Ubilava; Justin Hastings</dc:creator>
  <cp:keywords/>
  <cp:lastModifiedBy>David Ubilava</cp:lastModifiedBy>
  <cp:revision>17</cp:revision>
  <dcterms:created xsi:type="dcterms:W3CDTF">2022-09-26T04:38:00Z</dcterms:created>
  <dcterms:modified xsi:type="dcterms:W3CDTF">2022-11-08T11:17:00Z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 2022</vt:lpwstr>
  </property>
  <property fmtid="{D5CDD505-2E9C-101B-9397-08002B2CF9AE}" pid="3" name="output">
    <vt:lpwstr/>
  </property>
</Properties>
</file>