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DE193E3"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45A351E5"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w:t>
      </w:r>
      <w:r w:rsidRPr="002B62EF">
        <w:rPr>
          <w:rFonts w:ascii="Times New Roman" w:hAnsi="Times New Roman" w:cs="Times New Roman"/>
        </w:rPr>
        <w:lastRenderedPageBreak/>
        <w:t xml:space="preserve">commodity prices are high, increases the value 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35D8438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27A3E52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w:t>
      </w:r>
      <w:r w:rsidRPr="002B62EF">
        <w:rPr>
          <w:rFonts w:ascii="Times New Roman" w:hAnsi="Times New Roman" w:cs="Times New Roman"/>
        </w:rPr>
        <w:lastRenderedPageBreak/>
        <w:t>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3289519B" w:rsidR="00FA16E4" w:rsidRDefault="00CD4673" w:rsidP="00F14555">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w:t>
      </w:r>
      <w:r w:rsidR="00911E2B" w:rsidRPr="002B62EF">
        <w:rPr>
          <w:rFonts w:ascii="Times New Roman" w:hAnsi="Times New Roman" w:cs="Times New Roman"/>
        </w:rPr>
        <w:t xml:space="preserve">This finding likely </w:t>
      </w:r>
      <w:r w:rsidR="00911E2B">
        <w:rPr>
          <w:rFonts w:ascii="Times New Roman" w:hAnsi="Times New Roman" w:cs="Times New Roman"/>
        </w:rPr>
        <w:t>suggests that we are unable to disentangle</w:t>
      </w:r>
      <w:r w:rsidR="00911E2B" w:rsidRPr="002B62EF">
        <w:rPr>
          <w:rFonts w:ascii="Times New Roman" w:hAnsi="Times New Roman" w:cs="Times New Roman"/>
        </w:rPr>
        <w:t xml:space="preserve"> the rapacity mechanisms of conflict </w:t>
      </w:r>
      <w:r w:rsidR="00911E2B">
        <w:rPr>
          <w:rFonts w:ascii="Times New Roman" w:hAnsi="Times New Roman" w:cs="Times New Roman"/>
        </w:rPr>
        <w:t xml:space="preserve">associated </w:t>
      </w:r>
      <w:r w:rsidR="00911E2B" w:rsidRPr="002B62EF">
        <w:rPr>
          <w:rFonts w:ascii="Times New Roman" w:hAnsi="Times New Roman" w:cs="Times New Roman"/>
        </w:rPr>
        <w:t>with grievance and opportunity cost mechanisms of conflict.</w:t>
      </w:r>
      <w:r w:rsidR="002B62EF" w:rsidRPr="002B62EF">
        <w:rPr>
          <w:rFonts w:ascii="Times New Roman" w:hAnsi="Times New Roman" w:cs="Times New Roman"/>
        </w:rPr>
        <w:t xml:space="preserve">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5122A86C"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 xml:space="preserve">elevated levels of </w:t>
      </w:r>
      <w:r w:rsidR="00911E2B">
        <w:rPr>
          <w:rFonts w:ascii="Times New Roman" w:hAnsi="Times New Roman" w:cs="Times New Roman"/>
        </w:rPr>
        <w:t>conflict that typically involves the state and insurgents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w:t>
      </w:r>
      <w:r w:rsidR="00D12370">
        <w:rPr>
          <w:rFonts w:ascii="Times New Roman" w:hAnsi="Times New Roman" w:cs="Times New Roman"/>
        </w:rPr>
        <w:lastRenderedPageBreak/>
        <w:t xml:space="preserve">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 xml:space="preserve">for nearly their entire independent existences. The protests and conflicts that were sparked by the </w:t>
      </w:r>
      <w:r w:rsidR="00651703" w:rsidRPr="00401A4D">
        <w:rPr>
          <w:rFonts w:ascii="Times New Roman" w:hAnsi="Times New Roman" w:cs="Times New Roman"/>
        </w:rPr>
        <w:lastRenderedPageBreak/>
        <w:t>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w:t>
      </w:r>
      <w:r w:rsidRPr="00401A4D">
        <w:rPr>
          <w:color w:val="2A2A2A"/>
        </w:rPr>
        <w:lastRenderedPageBreak/>
        <w:t xml:space="preserve">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132BDA4E" w14:textId="51A90665" w:rsidR="001B068C" w:rsidRDefault="00374504" w:rsidP="00F14555">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E783E33" w14:textId="77777777" w:rsidR="00F14555" w:rsidRDefault="00F14555" w:rsidP="00F14555">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62AA6C" w14:textId="28AFF6A1" w:rsidR="001B068C" w:rsidRPr="00401A4D" w:rsidRDefault="001B068C" w:rsidP="00F14555">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sidR="00911E2B">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F14555" w14:paraId="0BE225B6" w14:textId="77777777" w:rsidTr="00152321">
        <w:tc>
          <w:tcPr>
            <w:tcW w:w="2323" w:type="dxa"/>
            <w:tcBorders>
              <w:top w:val="single" w:sz="4" w:space="0" w:color="auto"/>
              <w:bottom w:val="single" w:sz="4" w:space="0" w:color="auto"/>
            </w:tcBorders>
          </w:tcPr>
          <w:p w14:paraId="28309AAC"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6BAA7D1E"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068ED06D" w14:textId="7FF05091" w:rsidR="001B068C" w:rsidRPr="00F14555" w:rsidRDefault="002A7C2A"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w:t>
            </w:r>
            <w:r w:rsidR="001B068C" w:rsidRPr="00F14555">
              <w:rPr>
                <w:b/>
                <w:bCs/>
                <w:color w:val="2A2A2A"/>
                <w:sz w:val="22"/>
                <w:szCs w:val="22"/>
              </w:rPr>
              <w:t>easonal</w:t>
            </w:r>
            <w:r w:rsidRPr="00F14555">
              <w:rPr>
                <w:b/>
                <w:bCs/>
                <w:color w:val="2A2A2A"/>
                <w:sz w:val="22"/>
                <w:szCs w:val="22"/>
              </w:rPr>
              <w:t xml:space="preserve"> effect</w:t>
            </w:r>
          </w:p>
        </w:tc>
        <w:tc>
          <w:tcPr>
            <w:tcW w:w="2018" w:type="dxa"/>
            <w:tcBorders>
              <w:top w:val="single" w:sz="4" w:space="0" w:color="auto"/>
              <w:bottom w:val="single" w:sz="4" w:space="0" w:color="auto"/>
            </w:tcBorders>
          </w:tcPr>
          <w:p w14:paraId="2FDEA80F"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1B068C" w:rsidRPr="00F14555" w14:paraId="080489FF" w14:textId="77777777" w:rsidTr="00152321">
        <w:tc>
          <w:tcPr>
            <w:tcW w:w="2323" w:type="dxa"/>
            <w:tcBorders>
              <w:top w:val="single" w:sz="4" w:space="0" w:color="auto"/>
            </w:tcBorders>
          </w:tcPr>
          <w:p w14:paraId="7DCD7DEC"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F64B98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662E2E02"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14A7E4E3"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1B068C" w:rsidRPr="00F14555" w14:paraId="14C1B38E" w14:textId="77777777" w:rsidTr="00152321">
        <w:trPr>
          <w:trHeight w:val="836"/>
        </w:trPr>
        <w:tc>
          <w:tcPr>
            <w:tcW w:w="2323" w:type="dxa"/>
            <w:tcBorders>
              <w:bottom w:val="single" w:sz="4" w:space="0" w:color="auto"/>
            </w:tcBorders>
          </w:tcPr>
          <w:p w14:paraId="312EB19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75F98F0" w14:textId="246DE41D"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w:t>
            </w:r>
            <w:r w:rsidR="00BD3972" w:rsidRPr="00F14555">
              <w:rPr>
                <w:color w:val="2A2A2A"/>
                <w:sz w:val="22"/>
                <w:szCs w:val="22"/>
              </w:rPr>
              <w:t xml:space="preserve"> and</w:t>
            </w:r>
            <w:r w:rsidRPr="00F14555">
              <w:rPr>
                <w:color w:val="2A2A2A"/>
                <w:sz w:val="22"/>
                <w:szCs w:val="22"/>
              </w:rPr>
              <w:t xml:space="preserve"> explosions</w:t>
            </w:r>
          </w:p>
        </w:tc>
        <w:tc>
          <w:tcPr>
            <w:tcW w:w="2394" w:type="dxa"/>
            <w:tcBorders>
              <w:bottom w:val="single" w:sz="4" w:space="0" w:color="auto"/>
            </w:tcBorders>
          </w:tcPr>
          <w:p w14:paraId="597B1A09"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62A2A5DB"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823872D" w14:textId="77777777" w:rsidR="00BD3972" w:rsidRDefault="00BD3972" w:rsidP="00F14555">
      <w:pPr>
        <w:spacing w:after="0" w:line="480" w:lineRule="auto"/>
        <w:ind w:firstLine="360"/>
        <w:rPr>
          <w:rFonts w:ascii="Times New Roman" w:hAnsi="Times New Roman" w:cs="Times New Roman"/>
        </w:rPr>
      </w:pP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w:t>
      </w:r>
      <w:r w:rsidRPr="00401A4D">
        <w:lastRenderedPageBreak/>
        <w:t xml:space="preserve">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w:t>
      </w:r>
      <w:r w:rsidR="005D008D" w:rsidRPr="00401A4D">
        <w:rPr>
          <w:rFonts w:ascii="Times New Roman" w:hAnsi="Times New Roman" w:cs="Times New Roman"/>
        </w:rPr>
        <w:lastRenderedPageBreak/>
        <w:t xml:space="preserve">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w:t>
      </w:r>
      <w:r w:rsidRPr="00401A4D">
        <w:rPr>
          <w:color w:val="2A2A2A"/>
        </w:rPr>
        <w:lastRenderedPageBreak/>
        <w:t xml:space="preserve">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5E0E3018"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the data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Monfreda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398BD051" w14:textId="77777777" w:rsidR="00F14555" w:rsidRPr="008B212E" w:rsidRDefault="00F14555"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w:t>
      </w:r>
      <w:r w:rsidR="001B10B0" w:rsidRPr="00401A4D">
        <w:rPr>
          <w:rFonts w:ascii="Times New Roman" w:hAnsi="Times New Roman" w:cs="Times New Roman"/>
        </w:rPr>
        <w:lastRenderedPageBreak/>
        <w:t xml:space="preserve">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7D8BADF" w14:textId="56CB143C" w:rsidR="00401A4D" w:rsidRPr="00401A4D" w:rsidRDefault="00187271" w:rsidP="00F14555">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4C93EA4" w14:textId="3C2FA5B5" w:rsidR="00D43AB8" w:rsidRDefault="00D43AB8" w:rsidP="00F14555">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there is no apparent trend across conflict types, but there is a notable increase in almost all types of conflict from 2021 onward; (ii) despite a general co-movement among conflict types, there are periods when a rise in one type of conflict is not accompanied by other types of conflict.</w:t>
      </w:r>
    </w:p>
    <w:p w14:paraId="522206CC" w14:textId="77777777" w:rsidR="00375788" w:rsidRDefault="00375788"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4B3F1AE5" w14:textId="42A12C5C" w:rsidR="00375788" w:rsidRPr="00375788" w:rsidRDefault="00375788"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177517AF" w:rsidR="00DA3993" w:rsidRDefault="00060F68" w:rsidP="00F14555">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0237C500"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086B6108" w14:textId="16606270"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77777777" w:rsidR="00455EAE" w:rsidRPr="00401A4D"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15346702" w14:textId="77777777" w:rsidR="00455EAE" w:rsidRDefault="00455EAE" w:rsidP="00455EAE">
      <w:pPr>
        <w:spacing w:after="0" w:line="48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w:t>
      </w:r>
      <w:r>
        <w:rPr>
          <w:rFonts w:ascii="Times New Roman" w:hAnsi="Times New Roman" w:cs="Times New Roman"/>
        </w:rPr>
        <w:lastRenderedPageBreak/>
        <w:t xml:space="preserve">region. Following Ubilava et al. (2022), in the analysis we apply year-on-year relative change in prices, obtained by seasonally differencing the log-transformed price series.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4E9437E5" w14:textId="05C1F046" w:rsidR="001B10B0" w:rsidRPr="00401A4D" w:rsidRDefault="00E201E7" w:rsidP="00F14555">
      <w:pPr>
        <w:spacing w:after="0" w:line="48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The data on harvest calendar are from Monfreda et al. (2008). The countries covered are Cambodia, Indonesia, Malaysia, Myanmar, Philippines, Thailand, and Vietnam.</w:t>
      </w:r>
    </w:p>
    <w:p w14:paraId="50D5F272" w14:textId="0A1CF4A0" w:rsidR="00790174" w:rsidRDefault="00790174" w:rsidP="00F14555">
      <w:pPr>
        <w:spacing w:after="0" w:line="480" w:lineRule="auto"/>
        <w:rPr>
          <w:rFonts w:ascii="Times New Roman" w:hAnsi="Times New Roman" w:cs="Times New Roman"/>
        </w:rPr>
      </w:pPr>
    </w:p>
    <w:p w14:paraId="1AB475C3" w14:textId="0F8832F3" w:rsidR="007C5B90" w:rsidRPr="00DA3993" w:rsidRDefault="00DA3993" w:rsidP="00F14555">
      <w:pPr>
        <w:spacing w:after="0" w:line="480" w:lineRule="auto"/>
        <w:ind w:firstLine="360"/>
        <w:rPr>
          <w:rFonts w:ascii="Times New Roman" w:hAnsi="Times New Roman" w:cs="Times New Roman"/>
        </w:rPr>
      </w:pPr>
      <w:r>
        <w:rPr>
          <w:rFonts w:ascii="Times New Roman" w:hAnsi="Times New Roman" w:cs="Times New Roman"/>
        </w:rPr>
        <w:lastRenderedPageBreak/>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which is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(42,072)</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0.278</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7A661035"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0.098</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0.164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0.034</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0.094</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(359)</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lastRenderedPageBreak/>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0771623D"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w:t>
      </w:r>
      <w:r w:rsidRPr="001A6654">
        <w:rPr>
          <w:rFonts w:ascii="Times New Roman" w:hAnsi="Times New Roman" w:cs="Times New Roman"/>
        </w:rPr>
        <w:lastRenderedPageBreak/>
        <w:t>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lastRenderedPageBreak/>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0.047</w:t>
            </w:r>
          </w:p>
        </w:tc>
        <w:tc>
          <w:tcPr>
            <w:tcW w:w="1424" w:type="dxa"/>
            <w:tcBorders>
              <w:top w:val="nil"/>
              <w:bottom w:val="nil"/>
            </w:tcBorders>
            <w:shd w:val="clear" w:color="auto" w:fill="FFFFFF"/>
          </w:tcPr>
          <w:p w14:paraId="493A91FE" w14:textId="0B0072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0.056**</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0.033***</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-0.061**</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single" w:sz="4" w:space="0" w:color="auto"/>
            </w:tcBorders>
            <w:shd w:val="clear" w:color="auto" w:fill="FFFFFF"/>
          </w:tcPr>
          <w:p w14:paraId="7A2A8247" w14:textId="603FCF4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(0.024)</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r>
      <w:tr w:rsidR="00B87FED"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56AECED" w14:textId="489218A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4623F20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E4517AC" w14:textId="6A7CA8B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79E2AB72" w14:textId="5FC780C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Pr>
          <w:p w14:paraId="452D1295" w14:textId="0A2FBC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8.6**</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-9.0**</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single" w:sz="4" w:space="0" w:color="auto"/>
            </w:tcBorders>
            <w:shd w:val="clear" w:color="auto" w:fill="FFFFFF"/>
          </w:tcPr>
          <w:p w14:paraId="71757F67" w14:textId="3E41F74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(3.7)</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(2.1)</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0F28B971" w14:textId="031C0935" w:rsidR="00F1483E" w:rsidRPr="00401A4D" w:rsidRDefault="00F1483E"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w:t>
      </w:r>
      <w:r w:rsidRPr="00401A4D">
        <w:rPr>
          <w:rFonts w:ascii="Times New Roman" w:hAnsi="Times New Roman" w:cs="Times New Roman"/>
        </w:rPr>
        <w:lastRenderedPageBreak/>
        <w:t xml:space="preserve">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Pennings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w:t>
      </w:r>
      <w:r w:rsidRPr="004E72B9">
        <w:rPr>
          <w:rFonts w:ascii="Times New Roman" w:hAnsi="Times New Roman" w:cs="Times New Roman"/>
          <w:sz w:val="20"/>
          <w:szCs w:val="20"/>
        </w:rPr>
        <w:lastRenderedPageBreak/>
        <w:t xml:space="preserve">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E534E" w:rsidRPr="00455EA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61</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210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95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18</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87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70027A3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2C3D062B"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257F04D3"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Pr>
          <w:p w14:paraId="32EFE2AE" w14:textId="6703FBF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w:t>
      </w:r>
      <w:r>
        <w:rPr>
          <w:rFonts w:ascii="Times New Roman" w:hAnsi="Times New Roman" w:cs="Times New Roman"/>
        </w:rPr>
        <w:lastRenderedPageBreak/>
        <w:t xml:space="preserve">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lastRenderedPageBreak/>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504D08EB" w14:textId="1CB43305"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w:t>
      </w:r>
      <w:r w:rsidR="00271127" w:rsidRPr="004A3975">
        <w:rPr>
          <w:rFonts w:ascii="Times New Roman" w:hAnsi="Times New Roman" w:cs="Times New Roman"/>
          <w:sz w:val="20"/>
          <w:szCs w:val="20"/>
        </w:rPr>
        <w:lastRenderedPageBreak/>
        <w:t xml:space="preserve">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20AC06CD" w14:textId="1A7825ED"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xml:space="preserve">*, **, and * denote 0.01, 0.05, and 0.10 statistical significance levels. </w:t>
      </w:r>
      <w:r w:rsidR="00291F43" w:rsidRPr="004E72B9">
        <w:rPr>
          <w:rFonts w:ascii="Times New Roman" w:hAnsi="Times New Roman" w:cs="Times New Roman"/>
          <w:sz w:val="20"/>
          <w:szCs w:val="20"/>
        </w:rPr>
        <w:lastRenderedPageBreak/>
        <w:t>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lastRenderedPageBreak/>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w:t>
      </w:r>
      <w:r w:rsidRPr="00401A4D">
        <w:rPr>
          <w:color w:val="2A2A2A"/>
        </w:rPr>
        <w:lastRenderedPageBreak/>
        <w:t xml:space="preserve">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The findings of the study presents</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lastRenderedPageBreak/>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C9E7EF6" w:rsidR="001327E1" w:rsidRPr="00401A4D" w:rsidRDefault="00003943" w:rsidP="00F14555">
      <w:pPr>
        <w:spacing w:after="0" w:line="48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30470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F14555">
      <w:pPr>
        <w:spacing w:after="0" w:line="480" w:lineRule="auto"/>
        <w:rPr>
          <w:rFonts w:ascii="Times New Roman" w:hAnsi="Times New Roman" w:cs="Times New Roman"/>
        </w:rPr>
      </w:pPr>
    </w:p>
    <w:sectPr w:rsidR="00AC6E65" w:rsidRPr="00401A4D" w:rsidSect="00DF5A7F">
      <w:footerReference w:type="defaul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50745" w14:textId="77777777" w:rsidR="00A17694" w:rsidRDefault="00A17694">
      <w:pPr>
        <w:spacing w:after="0"/>
      </w:pPr>
      <w:r>
        <w:separator/>
      </w:r>
    </w:p>
  </w:endnote>
  <w:endnote w:type="continuationSeparator" w:id="0">
    <w:p w14:paraId="1E2A3B93" w14:textId="77777777" w:rsidR="00A17694" w:rsidRDefault="00A17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E389" w14:textId="77777777" w:rsidR="00A17694" w:rsidRDefault="00A17694">
      <w:r>
        <w:separator/>
      </w:r>
    </w:p>
  </w:footnote>
  <w:footnote w:type="continuationSeparator" w:id="0">
    <w:p w14:paraId="21525FBE" w14:textId="77777777" w:rsidR="00A17694" w:rsidRDefault="00A17694">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10F12"/>
    <w:rsid w:val="00116ABB"/>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4704"/>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37</Pages>
  <Words>9811</Words>
  <Characters>55924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8</cp:revision>
  <dcterms:created xsi:type="dcterms:W3CDTF">2023-04-05T08:43:00Z</dcterms:created>
  <dcterms:modified xsi:type="dcterms:W3CDTF">2023-05-23T05:06:00Z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