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1E76" w:rsidRPr="00701E76" w:rsidRDefault="00701E76" w:rsidP="00701E76">
      <w:pPr>
        <w:shd w:val="clear" w:color="auto" w:fill="FFFFFF"/>
        <w:spacing w:after="100" w:afterAutospacing="1" w:line="240" w:lineRule="auto"/>
        <w:outlineLvl w:val="1"/>
        <w:rPr>
          <w:rFonts w:ascii="Open Sans" w:eastAsia="Times New Roman" w:hAnsi="Open Sans" w:cs="Times New Roman"/>
          <w:color w:val="37474F"/>
          <w:sz w:val="36"/>
          <w:szCs w:val="36"/>
        </w:rPr>
      </w:pPr>
      <w:r w:rsidRPr="00701E76">
        <w:rPr>
          <w:rFonts w:ascii="Open Sans" w:eastAsia="Times New Roman" w:hAnsi="Open Sans" w:cs="Times New Roman"/>
          <w:color w:val="37474F"/>
          <w:sz w:val="36"/>
          <w:szCs w:val="36"/>
        </w:rPr>
        <w:t>[Bài đọc] Toán tử logic</w:t>
      </w:r>
    </w:p>
    <w:p w:rsidR="00701E76" w:rsidRPr="00701E76" w:rsidRDefault="00701E76" w:rsidP="00701E76">
      <w:pPr>
        <w:shd w:val="clear" w:color="auto" w:fill="FFFFFF"/>
        <w:spacing w:after="100" w:afterAutospacing="1" w:line="240" w:lineRule="auto"/>
        <w:rPr>
          <w:rFonts w:ascii="Open Sans" w:eastAsia="Times New Roman" w:hAnsi="Open Sans" w:cs="Times New Roman"/>
          <w:color w:val="526069"/>
          <w:sz w:val="21"/>
          <w:szCs w:val="21"/>
        </w:rPr>
      </w:pPr>
      <w:r w:rsidRPr="00701E76">
        <w:rPr>
          <w:rFonts w:ascii="Open Sans" w:eastAsia="Times New Roman" w:hAnsi="Open Sans" w:cs="Times New Roman"/>
          <w:i/>
          <w:iCs/>
          <w:color w:val="526069"/>
          <w:sz w:val="21"/>
          <w:szCs w:val="21"/>
        </w:rPr>
        <w:t>(Nguồn: Introduction to Java Programming, Comprehensive Version (10th Edition)  - Y. Daniel Liang – Tr 93)</w:t>
      </w:r>
    </w:p>
    <w:p w:rsidR="00701E76" w:rsidRPr="00701E76" w:rsidRDefault="00701E76" w:rsidP="00701E76">
      <w:pPr>
        <w:shd w:val="clear" w:color="auto" w:fill="FFFFFF"/>
        <w:spacing w:after="100" w:afterAutospacing="1" w:line="240" w:lineRule="auto"/>
        <w:rPr>
          <w:rFonts w:ascii="Open Sans" w:eastAsia="Times New Roman" w:hAnsi="Open Sans" w:cs="Times New Roman"/>
          <w:color w:val="526069"/>
          <w:sz w:val="21"/>
          <w:szCs w:val="21"/>
        </w:rPr>
      </w:pPr>
      <w:r w:rsidRPr="00701E76">
        <w:rPr>
          <w:rFonts w:ascii="Open Sans" w:eastAsia="Times New Roman" w:hAnsi="Open Sans" w:cs="Times New Roman"/>
          <w:color w:val="526069"/>
          <w:sz w:val="21"/>
          <w:szCs w:val="21"/>
        </w:rPr>
        <w:t>Các toán tử logic !, &amp;&amp;, ||, ^ có thể được sử dụng để tạo một biểu thức Boolean hỗn hợp. Đôi khi, một câu lệnh có được thực thi hay không được xác định bởi sự kết hợp của một số điều kiện. Bạn có thể sử dụng các toán tử logic để kết hợp các điều kiện này để tạo thành một biểu thức Boolean hỗn hợp.</w:t>
      </w:r>
    </w:p>
    <w:p w:rsidR="00701E76" w:rsidRPr="00701E76" w:rsidRDefault="00701E76" w:rsidP="00701E76">
      <w:pPr>
        <w:shd w:val="clear" w:color="auto" w:fill="FFFFFF"/>
        <w:spacing w:after="100" w:afterAutospacing="1" w:line="240" w:lineRule="auto"/>
        <w:rPr>
          <w:rFonts w:ascii="Open Sans" w:eastAsia="Times New Roman" w:hAnsi="Open Sans" w:cs="Times New Roman"/>
          <w:color w:val="526069"/>
          <w:sz w:val="21"/>
          <w:szCs w:val="21"/>
        </w:rPr>
      </w:pPr>
      <w:r w:rsidRPr="00701E76">
        <w:rPr>
          <w:rFonts w:ascii="Open Sans" w:eastAsia="Times New Roman" w:hAnsi="Open Sans" w:cs="Times New Roman"/>
          <w:color w:val="526069"/>
          <w:sz w:val="21"/>
          <w:szCs w:val="21"/>
        </w:rPr>
        <w:t>Toán tử logic, còn được gọi là toán tử Boolean, hoạt động trên các giá trị Boolean để tạo một giá trị Boolean mới. Bảng 1 liệt kê các toán tử Boolean. Bảng 2 xác định toán tử not (!), phủ định true thành false và false thành true. Bảng 3 xác định toán tử và (&amp;&amp;). Và (&amp;&amp;) của hai toán hạng Boolean là true nếu và chỉ khi cả hai toán hạng đều true. Bảng 4 định nghĩa toán tử hoặc (||). Hoặc (||) của hai toán hạng Boolean là true nếu ít nhất một trong các toán hạng là true. Bảng 5 xác định toán tử khác (^). Khác (^) của hai toán hạng Boolean là true nếu và chỉ khi hai toán hạng có giá trị Boolean khác nhau. Lưu ý rằng p1 ^ p2 giống với p1! = p2.</w:t>
      </w:r>
    </w:p>
    <w:p w:rsidR="00475B86" w:rsidRDefault="00701E76">
      <w:r>
        <w:rPr>
          <w:noProof/>
        </w:rPr>
        <w:drawing>
          <wp:inline distT="0" distB="0" distL="0" distR="0" wp14:anchorId="16C6E455" wp14:editId="1AAABE81">
            <wp:extent cx="5733415" cy="31629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162935"/>
                    </a:xfrm>
                    <a:prstGeom prst="rect">
                      <a:avLst/>
                    </a:prstGeom>
                  </pic:spPr>
                </pic:pic>
              </a:graphicData>
            </a:graphic>
          </wp:inline>
        </w:drawing>
      </w:r>
    </w:p>
    <w:p w:rsidR="00701E76" w:rsidRDefault="00701E76">
      <w:r>
        <w:rPr>
          <w:noProof/>
        </w:rPr>
        <w:lastRenderedPageBreak/>
        <w:drawing>
          <wp:inline distT="0" distB="0" distL="0" distR="0" wp14:anchorId="760D988E" wp14:editId="5B3835DE">
            <wp:extent cx="5457825" cy="4552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57825" cy="4552950"/>
                    </a:xfrm>
                    <a:prstGeom prst="rect">
                      <a:avLst/>
                    </a:prstGeom>
                  </pic:spPr>
                </pic:pic>
              </a:graphicData>
            </a:graphic>
          </wp:inline>
        </w:drawing>
      </w:r>
    </w:p>
    <w:p w:rsidR="00701E76" w:rsidRDefault="00701E76">
      <w:r>
        <w:rPr>
          <w:noProof/>
        </w:rPr>
        <w:drawing>
          <wp:inline distT="0" distB="0" distL="0" distR="0" wp14:anchorId="3E7F6A6D" wp14:editId="22F2572B">
            <wp:extent cx="5457825" cy="1971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7825" cy="1971675"/>
                    </a:xfrm>
                    <a:prstGeom prst="rect">
                      <a:avLst/>
                    </a:prstGeom>
                  </pic:spPr>
                </pic:pic>
              </a:graphicData>
            </a:graphic>
          </wp:inline>
        </w:drawing>
      </w:r>
      <w:bookmarkStart w:id="0" w:name="_GoBack"/>
      <w:bookmarkEnd w:id="0"/>
    </w:p>
    <w:sectPr w:rsidR="00701E7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C1A"/>
    <w:rsid w:val="00271C1A"/>
    <w:rsid w:val="00475B86"/>
    <w:rsid w:val="00701E7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24AB"/>
  <w15:chartTrackingRefBased/>
  <w15:docId w15:val="{16596FCF-089D-4FCD-BC4E-6B395B6C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01E7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1E76"/>
    <w:rPr>
      <w:rFonts w:eastAsia="Times New Roman" w:cs="Times New Roman"/>
      <w:b/>
      <w:bCs/>
      <w:sz w:val="36"/>
      <w:szCs w:val="36"/>
    </w:rPr>
  </w:style>
  <w:style w:type="paragraph" w:styleId="NormalWeb">
    <w:name w:val="Normal (Web)"/>
    <w:basedOn w:val="Normal"/>
    <w:uiPriority w:val="99"/>
    <w:semiHidden/>
    <w:unhideWhenUsed/>
    <w:rsid w:val="00701E7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375205">
      <w:bodyDiv w:val="1"/>
      <w:marLeft w:val="0"/>
      <w:marRight w:val="0"/>
      <w:marTop w:val="0"/>
      <w:marBottom w:val="0"/>
      <w:divBdr>
        <w:top w:val="none" w:sz="0" w:space="0" w:color="auto"/>
        <w:left w:val="none" w:sz="0" w:space="0" w:color="auto"/>
        <w:bottom w:val="none" w:sz="0" w:space="0" w:color="auto"/>
        <w:right w:val="none" w:sz="0" w:space="0" w:color="auto"/>
      </w:divBdr>
      <w:divsChild>
        <w:div w:id="1536117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2022-05-14T20:02:00Z</dcterms:created>
  <dcterms:modified xsi:type="dcterms:W3CDTF">2022-05-14T20:03:00Z</dcterms:modified>
</cp:coreProperties>
</file>