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jc w:val="center"/>
        <w:rPr>
          <w:b w:val="1"/>
          <w:bCs w:val="1"/>
          <w:sz w:val="26"/>
          <w:szCs w:val="26"/>
        </w:rPr>
      </w:pPr>
      <w:r w:rsidDel="00000000" w:rsidR="00000000" w:rsidRPr="00000000">
        <w:rPr>
          <w:b w:val="1"/>
          <w:bCs w:val="1"/>
          <w:sz w:val="26"/>
          <w:szCs w:val="26"/>
          <w:rtl w:val="0"/>
        </w:rPr>
        <w:t xml:space="preserve">Unit 4 Assignment</w:t>
      </w:r>
    </w:p>
    <w:p w:rsidR="00000000" w:rsidDel="00000000" w:rsidP="00000000" w:rsidRDefault="00000000" w:rsidRPr="00000000" w14:paraId="00000002">
      <w:pPr>
        <w:keepNext w:val="0"/>
        <w:keepLines w:val="0"/>
        <w:spacing w:after="80" w:lineRule="auto"/>
        <w:rPr>
          <w:b w:val="1"/>
          <w:bCs w:val="1"/>
        </w:rPr>
      </w:pPr>
      <w:r w:rsidDel="00000000" w:rsidR="00000000" w:rsidRPr="00000000">
        <w:rPr>
          <w:b w:val="1"/>
          <w:bCs w:val="1"/>
          <w:rtl w:val="0"/>
        </w:rPr>
        <w:t xml:space="preserve">Course Outcomes Addressed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ED825-1:</w:t>
      </w:r>
      <w:r w:rsidDel="00000000" w:rsidR="00000000" w:rsidRPr="00000000">
        <w:rPr>
          <w:rtl w:val="0"/>
        </w:rPr>
        <w:t xml:space="preserve"> Construct a comprehensive, ethically sound Institutional Review Board (IRB) application that demonstrates rigorous research planning and risk mitigation.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ED825-3:</w:t>
      </w:r>
      <w:r w:rsidDel="00000000" w:rsidR="00000000" w:rsidRPr="00000000">
        <w:rPr>
          <w:rtl w:val="0"/>
        </w:rPr>
        <w:t xml:space="preserve"> Formulate robust protocols for participant recruitment, confidentiality, anonymity, and ethical research conduct.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ED825-4:</w:t>
      </w:r>
      <w:r w:rsidDel="00000000" w:rsidR="00000000" w:rsidRPr="00000000">
        <w:rPr>
          <w:rtl w:val="0"/>
        </w:rPr>
        <w:t xml:space="preserve"> Evaluate the alignment between research questions, methodology, and data collection instruments to ensure validity and feasibility in applied research.</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220"/>
        <w:gridCol w:w="2040"/>
        <w:gridCol w:w="2040"/>
        <w:gridCol w:w="915"/>
        <w:tblGridChange w:id="0">
          <w:tblGrid>
            <w:gridCol w:w="1665"/>
            <w:gridCol w:w="2220"/>
            <w:gridCol w:w="2040"/>
            <w:gridCol w:w="2040"/>
            <w:gridCol w:w="91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III</w:t>
              <w:br w:type="textWrapping"/>
              <w:t xml:space="preserve">Points: </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Not</w:t>
              <w:br w:type="textWrapping"/>
              <w:t xml:space="preserve">Present</w:t>
            </w:r>
          </w:p>
        </w:tc>
      </w:tr>
      <w:tr>
        <w:trPr>
          <w:cantSplit w:val="0"/>
          <w:trHeight w:val="28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Submission Completeness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Submits a complete mock IRB packet using the appropriate current IRB forms for the proposed study pathway. Submission includes required supporting materials, such as CITI training, signed and approved site permission, recruitment materials, instruments and required documentation, participant-facing materials, and additional study documents when applicable.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Submits most required materials, but one component is incomplete, difficult to locate, mislabeled, or not fully integrated. Submission is mostly reviewable but needs minor organization or completion improvements.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Multiple required materials are missing, incomplete, disorganized, or submitted as placeholders. Submission is not ready for faculty administrative review.</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Not present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III</w:t>
              <w:br w:type="textWrapping"/>
              <w:t xml:space="preserve">Points: </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Not</w:t>
              <w:br w:type="textWrapping"/>
              <w:t xml:space="preserve">Present</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Proposed IRB Pathway and Protocol Accuracy</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Selects an appropriate proposed IRB pathway and uses the correct current protocol materials for the study. Protocol responses are complete, accurate, and appropriate for the study design, participants or data sources, recruitment plan, data collection procedures, and level of risk.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Proposed pathway and protocol form are generally appropriate, but one or two areas require clarification. Some protocol responses may be incomplete, inconsistent, or need stronger explanation to support the proposed pathway.</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Proposed pathway or protocol form appears inaccurate, unsupported, or unclear. Protocol responses are incomplete, inconsistent, or insufficient to support faculty administrative review.</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Not present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III</w:t>
              <w:br w:type="textWrapping"/>
              <w:t xml:space="preserve">Points: </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Not</w:t>
              <w:br w:type="textWrapping"/>
              <w:t xml:space="preserve">Present</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Alignment Across IRB Packet and Chapters 1–3</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Demonstrates strong alignment across the IRB packet and current Chapters 1–3. The problem, purpose, research question, methodology, participants or data sources, recruitment procedures, instruments, data collection steps, site permission and data analysis plan describe the same study consistently across all materials.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Alignment is generally evident, but one or two areas require clarification or stronger consistency. Some language, procedures, participant descriptions, instruments, or data collection details may not fully match across the paper and IRB materials.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Alignment is weak, inconsistent, or unclear. Major elements of the IRB packet conflict with Chapters 1–3 or fail to describe the same study.</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Not present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III</w:t>
              <w:br w:type="textWrapping"/>
              <w:t xml:space="preserve">Points: </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Not</w:t>
              <w:br w:type="textWrapping"/>
              <w:t xml:space="preserve">Present</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Participant Protections and Ethical Safeguards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Clearly addresses participant protections, voluntary participation, informed consent or information sheet requirements, confidentiality, anonymity when applicable, data security, data retention, permissions, and safeguards to minimize risk. Ethical protections are specific to the proposed study and integrated across the packet.</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Ethical protections are generally addressed, but one or two areas require clarification or stronger detail, such as consent or information sheet language, confidentiality, permissions, data security, retention, or risk mitigation.</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Ethical protections are weak, missing, generic, or inconsistent. Participant rights, confidentiality, data security, permissions, retention, or safeguards are unclear or insufficient.</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Not present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III</w:t>
              <w:br w:type="textWrapping"/>
              <w:t xml:space="preserve">Points: </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Not</w:t>
              <w:br w:type="textWrapping"/>
              <w:t xml:space="preserve">Present</w:t>
            </w:r>
          </w:p>
        </w:tc>
      </w:tr>
      <w:tr>
        <w:trPr>
          <w:cantSplit w:val="0"/>
          <w:trHeight w:val="26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Recruitment, Consent, and Participant-Facing Materials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Recruitment, consent, information sheet, invitation, script, notice, or other participant-facing materials are complete and appropriate for the proposed study pathway. Materials clearly describe the study, voluntary participation, participant expectations, risks, benefits, confidentiality, and contact information as applicable.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Participant-facing materials are mostly complete and appropriate, but one or two areas require clarification, revision, or stronger alignment with the protocol. Some language may be too vague, overly technical, or inconsistent with the study procedures.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Participant-facing materials are missing, incomplete, inappropriate for the proposed pathway, or inconsistent with the protocol. Materials do not adequately explain the study or participant expectations.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Not present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III</w:t>
              <w:br w:type="textWrapping"/>
              <w:t xml:space="preserve">Points: </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Not</w:t>
              <w:br w:type="textWrapping"/>
              <w:t xml:space="preserve">Present</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Research Instruments and Data Collection Readiness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Research instruments, interview protocols, surveys, observation tools, document review guides, or data collection materials are included when applicable and align with the research question, methodology, participant group or data source, and analysis plan. Existing, borrowed, adapted, purchased, or previously published instruments include documentation of permission or authorized use when applicable. Researcher-developed instruments include evidence of review, validation, or appropriateness for the study when applicable. Instruments are complete and ready for faculty review.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Instruments or data collection materials are mostly appropriate, but one or two areas require clarification, stronger connection to the research question, additional detail, or documentation of permission, authorized use, review, validation, or appropriateness. Some materials may be incomplete or inconsistently labeled.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Instruments or data collection materials are missing, vague, misaligned, unsupported, or insufficient for faculty review. Required documentation of permission, authorized use, review, validation, or appropriateness may be missing or unclear. The connection between the tools, research question, and analysis plan is unclear.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Not present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III</w:t>
              <w:br w:type="textWrapping"/>
              <w:t xml:space="preserve">Points: </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Not</w:t>
              <w:br w:type="textWrapping"/>
              <w:t xml:space="preserve">Present</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Administrative Review Readiness and Use of Feedback</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Submission demonstrates readiness for faculty administrative review. Prior faculty, committee, RPC, or checkpoint feedback has been meaningfully addressed. Remaining questions or revision needs are limited, clearly identifiable, and manageable before official IRB submission.</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Submission shows general readiness for faculty administrative review, but some prior feedback appears only partially addressed, or remaining revision needs require clearer organization or additional attention before official IRB submission.</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Submission does not demonstrate readiness for faculty administrative review. Prior feedback appears unaddressed, or major unresolved issues remain that may prevent official IRB submission readiness.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Not present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III</w:t>
              <w:br w:type="textWrapping"/>
              <w:t xml:space="preserve">Points: </w:t>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Level I</w:t>
              <w:br w:type="textWrapping"/>
            </w:r>
          </w:p>
        </w:tc>
        <w:tc>
          <w:tcPr>
            <w:tcBorders>
              <w:top w:color="000000" w:space="0" w:sz="8" w:val="single"/>
              <w:left w:color="000000" w:space="0" w:sz="8" w:val="single"/>
              <w:bottom w:color="000000" w:space="0" w:sz="8" w:val="single"/>
              <w:right w:color="000000" w:space="0" w:sz="8" w:val="single"/>
            </w:tcBorders>
            <w:shd w:fill="d9e6f2" w:val="clear"/>
            <w:tcMar>
              <w:top w:w="80.0" w:type="dxa"/>
              <w:left w:w="0.0" w:type="dxa"/>
              <w:bottom w:w="8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Not</w:t>
              <w:br w:type="textWrapping"/>
              <w:t xml:space="preserve">Present</w:t>
            </w:r>
          </w:p>
        </w:tc>
      </w:tr>
      <w:tr>
        <w:trPr>
          <w:cantSplit w:val="0"/>
          <w:trHeight w:val="19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Professional Presentation, Writing, and Formatting</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IRB packet materials are professionally presented, clearly written, organized, and free of distracting grammar, punctuation, spelling, or formatting errors. File names, labels, and document organization support efficient faculty review.</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Materials are generally clear and professionally presented, with minor writing, formatting, labeling, or organization issues that do not substantially impede review.</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Materials are unclear, disorganized, informal, difficult to review, or contain multiple errors that interfere with professional presentation.</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Not present</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Max Pts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0"/>
                <w:szCs w:val="20"/>
              </w:rPr>
            </w:pPr>
            <w:r w:rsidDel="00000000" w:rsidR="00000000" w:rsidRPr="00000000">
              <w:rPr>
                <w:b w:val="1"/>
                <w:bCs w:val="1"/>
                <w:sz w:val="20"/>
                <w:szCs w:val="20"/>
                <w:rtl w:val="0"/>
              </w:rPr>
              <w:t xml:space="preserve">Min Pts</w:t>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0.0" w:type="dxa"/>
              <w:bottom w:w="8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