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1200"/>
        <w:ind/>
        <w:rPr/>
      </w:pPr>
      <w:r/>
      <w:r/>
    </w:p>
    <w:p>
      <w:pPr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64"/>
          <w:szCs w:val="64"/>
        </w:rPr>
        <w:t xml:space="preserve">LASTENHEFT</w:t>
      </w:r>
      <w:r/>
    </w:p>
    <w:p>
      <w:pPr>
        <w:pBdr/>
        <w:spacing w:after="0" w:before="80"/>
        <w:ind/>
        <w:rPr/>
      </w:pPr>
      <w:r/>
      <w:r/>
    </w:p>
    <w:p>
      <w:pPr>
        <w:pBdr/>
        <w:spacing/>
        <w:ind/>
        <w:rPr/>
      </w:pPr>
      <w:r>
        <w:rPr>
          <w:rFonts w:ascii="Arial" w:hAnsi="Arial" w:eastAsia="Arial" w:cs="Arial"/>
          <w:b/>
          <w:bCs/>
          <w:color w:val="1a1a1a"/>
          <w:sz w:val="40"/>
          <w:szCs w:val="40"/>
        </w:rPr>
        <w:t xml:space="preserve">SAFe PI Capacity Planner</w:t>
      </w:r>
      <w:r/>
    </w:p>
    <w:p>
      <w:pPr>
        <w:pBdr/>
        <w:spacing w:after="0" w:before="80"/>
        <w:ind/>
        <w:rPr/>
      </w:pPr>
      <w:r/>
      <w:r/>
    </w:p>
    <w:p>
      <w:pPr>
        <w:pBdr>
          <w:bottom w:val="single" w:color="e63312" w:sz="8" w:space="1"/>
        </w:pBdr>
        <w:spacing w:after="240" w:before="40"/>
        <w:ind/>
        <w:rPr/>
      </w:pPr>
      <w:r>
        <w:rPr>
          <w:rFonts w:ascii="Arial" w:hAnsi="Arial" w:eastAsia="Arial" w:cs="Arial"/>
          <w:color w:val="555555"/>
          <w:sz w:val="26"/>
          <w:szCs w:val="26"/>
        </w:rPr>
        <w:t xml:space="preserve">Anforderungsspezifikation für Ne</w:t>
      </w:r>
      <w:r>
        <w:rPr>
          <w:rFonts w:ascii="Arial" w:hAnsi="Arial" w:eastAsia="Arial" w:cs="Arial"/>
          <w:color w:val="555555"/>
          <w:sz w:val="26"/>
          <w:szCs w:val="26"/>
          <w:lang w:val="de-DE"/>
        </w:rPr>
        <w:t xml:space="preserve">u</w:t>
      </w:r>
      <w:r>
        <w:rPr>
          <w:rFonts w:ascii="Arial" w:hAnsi="Arial" w:eastAsia="Arial" w:cs="Arial"/>
          <w:color w:val="555555"/>
          <w:sz w:val="26"/>
          <w:szCs w:val="26"/>
          <w:lang w:val="de-DE"/>
        </w:rPr>
        <w:t xml:space="preserve">e</w:t>
      </w:r>
      <w:r>
        <w:rPr>
          <w:rFonts w:ascii="Arial" w:hAnsi="Arial" w:eastAsia="Arial" w:cs="Arial"/>
          <w:color w:val="555555"/>
          <w:sz w:val="26"/>
          <w:szCs w:val="26"/>
        </w:rPr>
        <w:t xml:space="preserve">ntwicklung</w:t>
      </w:r>
      <w:r/>
    </w:p>
    <w:p>
      <w:pPr>
        <w:pBdr/>
        <w:spacing w:after="0" w:before="400"/>
        <w:ind/>
        <w:rPr/>
      </w:pPr>
      <w:r/>
      <w:r/>
    </w:p>
    <w:tbl>
      <w:tblPr>
        <w:tblW w:w="89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5760"/>
      </w:tblGrid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Auftraggeber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Bundesamt für Informatik und Telekommunikation (BIT)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Abteilung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IT-Delivery / SAFe Agile Release Train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Dokumenttyp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Lastenheft (Anforderungsspezifikation)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Version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1.0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Datum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April 2026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Status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Freigegeben zur Ausschreibung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Vertraulichkeit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Intern - nicht für Dritte bestimmt</w:t>
            </w:r>
            <w:r/>
          </w:p>
        </w:tc>
      </w:tr>
    </w:tbl>
    <w:p>
      <w:pPr>
        <w:pBdr/>
        <w:spacing w:after="0" w:before="800"/>
        <w:ind/>
        <w:rPr/>
      </w:pPr>
      <w:r/>
      <w:r/>
    </w:p>
    <w:p>
      <w:pPr>
        <w:pBdr/>
        <w:spacing/>
        <w:ind/>
        <w:rPr/>
      </w:pPr>
      <w:r>
        <w:rPr>
          <w:rFonts w:ascii="Arial" w:hAnsi="Arial" w:eastAsia="Arial" w:cs="Arial"/>
          <w:color w:val="777777"/>
          <w:sz w:val="20"/>
          <w:szCs w:val="20"/>
        </w:rPr>
        <w:t xml:space="preserve">Bundesamt für Informatik und Telekommunikation (BIT)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777777"/>
          <w:sz w:val="20"/>
          <w:szCs w:val="20"/>
        </w:rPr>
        <w:t xml:space="preserve">Schweizerische Eidgenossenschaft</w:t>
      </w:r>
      <w:r/>
    </w:p>
    <w:p>
      <w:pPr>
        <w:pBdr/>
        <w:spacing/>
        <w:ind/>
        <w:rPr/>
        <w:sectPr>
          <w:footnotePr/>
          <w:endnotePr/>
          <w:type w:val="nextPage"/>
          <w:pgSz w:h="16838" w:orient="portrait" w:w="11906"/>
          <w:pgMar w:top="1440" w:right="1440" w:bottom="1440" w:left="1800" w:header="708" w:footer="708" w:gutter="0"/>
          <w:cols w:num="1" w:sep="0" w:space="1701" w:equalWidth="1"/>
        </w:sectPr>
      </w:pPr>
      <w:r/>
      <w:r/>
    </w:p>
    <w:sdt>
      <w:sdtPr>
        <w:alias w:val="Inhaltsverzeichnis"/>
        <w15:appearance w15:val="boundingBox"/>
        <w:rPr/>
      </w:sdtPr>
      <w:sdtContent>
        <w:p w14:paraId="3957807C">
          <w:pPr>
            <w:pStyle w:val="189"/>
            <w:pBdr/>
            <w:tabs>
              <w:tab w:val="right" w:leader="dot" w:pos="8906"/>
            </w:tabs>
            <w:spacing/>
            <w:ind/>
            <w:rPr/>
          </w:pPr>
          <w:r>
            <w:fldChar w:fldCharType="begin"/>
            <w:instrText xml:space="preserve">TOC \h \o "1-3"</w:instrText>
            <w:fldChar w:fldCharType="separate"/>
          </w:r>
          <w:r/>
          <w:hyperlink w:tooltip="#_Toc1" w:anchor="_Toc1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1. Einleitung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</w:p>
        <w:p w14:paraId="6117AE67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2" w:anchor="_Toc2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1.1 Zweck des Dokuments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</w:p>
        <w:p w14:paraId="3955D8C2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3" w:anchor="_Toc3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1.2 Ausgangslage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/>
        </w:p>
        <w:p w14:paraId="021187B4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4" w:anchor="_Toc4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1.3 Auftraggeber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/>
        </w:p>
        <w:p w14:paraId="548F00DF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5" w:anchor="_Toc5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1.4 Geltungsbereich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/>
        </w:p>
        <w:p w14:paraId="75A05746">
          <w:pPr>
            <w:pStyle w:val="189"/>
            <w:pBdr/>
            <w:tabs>
              <w:tab w:val="right" w:leader="dot" w:pos="8906"/>
            </w:tabs>
            <w:spacing/>
            <w:ind/>
            <w:rPr/>
          </w:pPr>
          <w:hyperlink w:tooltip="#_Toc6" w:anchor="_Toc6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2. Projektziel und Systemübersicht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/>
        </w:p>
        <w:p w14:paraId="12963067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7" w:anchor="_Toc7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2.1 Projektziel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/>
        </w:p>
        <w:p w14:paraId="6BBFB919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8" w:anchor="_Toc8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2.2 Kernfunktionen im Überblick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4</w:t>
              <w:fldChar w:fldCharType="end"/>
            </w:r>
          </w:hyperlink>
          <w:r/>
        </w:p>
        <w:p w14:paraId="67E6243D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9" w:anchor="_Toc9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2.3 Systemgrenzen (Out of Scope)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4</w:t>
              <w:fldChar w:fldCharType="end"/>
            </w:r>
          </w:hyperlink>
          <w:r/>
        </w:p>
        <w:p w14:paraId="417D6F9A">
          <w:pPr>
            <w:pStyle w:val="189"/>
            <w:pBdr/>
            <w:tabs>
              <w:tab w:val="right" w:leader="dot" w:pos="8906"/>
            </w:tabs>
            <w:spacing/>
            <w:ind/>
            <w:rPr/>
          </w:pPr>
          <w:hyperlink w:tooltip="#_Toc10" w:anchor="_Toc10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3. Benutzergruppen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5</w:t>
              <w:fldChar w:fldCharType="end"/>
            </w:r>
          </w:hyperlink>
          <w:r/>
        </w:p>
        <w:p w14:paraId="519DEEEE">
          <w:pPr>
            <w:pStyle w:val="189"/>
            <w:pBdr/>
            <w:tabs>
              <w:tab w:val="right" w:leader="dot" w:pos="8906"/>
            </w:tabs>
            <w:spacing/>
            <w:ind/>
            <w:rPr/>
          </w:pPr>
          <w:hyperlink w:tooltip="#_Toc11" w:anchor="_Toc11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4. Konzept</w:t>
            </w:r>
            <w:r>
              <w:rPr>
                <w:rStyle w:val="739"/>
                <w:rFonts w:ascii="Arial" w:hAnsi="Arial" w:eastAsia="Arial" w:cs="Arial"/>
                <w:lang w:val="de-DE"/>
              </w:rPr>
              <w:t xml:space="preserve">ionelles</w:t>
            </w:r>
            <w:r>
              <w:rPr>
                <w:rStyle w:val="739"/>
                <w:rFonts w:ascii="Arial" w:hAnsi="Arial" w:eastAsia="Arial" w:cs="Arial"/>
              </w:rPr>
              <w:t xml:space="preserve"> Datenmodell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6</w:t>
              <w:fldChar w:fldCharType="end"/>
            </w:r>
          </w:hyperlink>
          <w:r/>
        </w:p>
        <w:p w14:paraId="3123BA43">
          <w:pPr>
            <w:pStyle w:val="189"/>
            <w:pBdr/>
            <w:tabs>
              <w:tab w:val="right" w:leader="dot" w:pos="8906"/>
            </w:tabs>
            <w:spacing/>
            <w:ind/>
            <w:rPr/>
          </w:pPr>
          <w:hyperlink w:tooltip="#_Toc12" w:anchor="_Toc12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5. Funktionale Anforderungen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7</w:t>
              <w:fldChar w:fldCharType="end"/>
            </w:r>
          </w:hyperlink>
          <w:r/>
        </w:p>
        <w:p w14:paraId="462B614D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13" w:anchor="_Toc13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5.1 Navigation und Grundstruktur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7</w:t>
              <w:fldChar w:fldCharType="end"/>
            </w:r>
          </w:hyperlink>
          <w:r/>
        </w:p>
        <w:p w14:paraId="24B154A7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14" w:anchor="_Toc14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5.2 Mitarbeiterverwaltung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7</w:t>
              <w:fldChar w:fldCharType="end"/>
            </w:r>
          </w:hyperlink>
          <w:r/>
        </w:p>
        <w:p w14:paraId="72D5B420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15" w:anchor="_Toc15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5.3 PI-Planung und Iterationen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7</w:t>
              <w:fldChar w:fldCharType="end"/>
            </w:r>
          </w:hyperlink>
          <w:r/>
        </w:p>
        <w:p w14:paraId="3A119BD8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16" w:anchor="_Toc16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5.4 Kalender-Ereignisse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8</w:t>
              <w:fldChar w:fldCharType="end"/>
            </w:r>
          </w:hyperlink>
          <w:r/>
        </w:p>
        <w:p w14:paraId="4A323D05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17" w:anchor="_Toc17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5.5 Kalender-Ansicht und Absenzbuchung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8</w:t>
              <w:fldChar w:fldCharType="end"/>
            </w:r>
          </w:hyperlink>
          <w:r/>
        </w:p>
        <w:p w14:paraId="679D082F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18" w:anchor="_Toc18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5.6 Story-Point-Berechnung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9</w:t>
              <w:fldChar w:fldCharType="end"/>
            </w:r>
          </w:hyperlink>
          <w:r/>
        </w:p>
        <w:p w14:paraId="71C51BB8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19" w:anchor="_Toc19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5.7 Dashboard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9</w:t>
              <w:fldChar w:fldCharType="end"/>
            </w:r>
          </w:hyperlink>
          <w:r/>
        </w:p>
        <w:p w14:paraId="4621B4A0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20" w:anchor="_Toc20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5.8 PI Dashboard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9</w:t>
              <w:fldChar w:fldCharType="end"/>
            </w:r>
          </w:hyperlink>
          <w:r/>
        </w:p>
        <w:p w14:paraId="533E20C9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21" w:anchor="_Toc21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5.9 Export-Funktionen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10</w:t>
              <w:fldChar w:fldCharType="end"/>
            </w:r>
          </w:hyperlink>
          <w:r/>
        </w:p>
        <w:p w14:paraId="24467194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22" w:anchor="_Toc22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5.10 Einstellungen und Konfiguration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10</w:t>
              <w:fldChar w:fldCharType="end"/>
            </w:r>
          </w:hyperlink>
          <w:r/>
        </w:p>
        <w:p w14:paraId="1FBC72BD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23" w:anchor="_Toc23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5.11 Backup und Restore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11</w:t>
              <w:fldChar w:fldCharType="end"/>
            </w:r>
          </w:hyperlink>
          <w:r/>
        </w:p>
        <w:p w14:paraId="169C265A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24" w:anchor="_Toc24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5.12 Mehrbenutzer-Unterstuetzung (Echtzeit)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11</w:t>
              <w:fldChar w:fldCharType="end"/>
            </w:r>
          </w:hyperlink>
          <w:r/>
        </w:p>
        <w:p w14:paraId="5F13FDAC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25" w:anchor="_Toc25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5.13 Mandantenfaehigkeit (Multi-Train)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11</w:t>
              <w:fldChar w:fldCharType="end"/>
            </w:r>
          </w:hyperlink>
          <w:r/>
        </w:p>
        <w:p w14:paraId="6DCF9C48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26" w:anchor="_Toc26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5.14 Admin-Bereich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11</w:t>
              <w:fldChar w:fldCharType="end"/>
            </w:r>
          </w:hyperlink>
          <w:r/>
        </w:p>
        <w:p w14:paraId="57D569CA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27" w:anchor="_Toc27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5.15 Corporate Design Bund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12</w:t>
              <w:fldChar w:fldCharType="end"/>
            </w:r>
          </w:hyperlink>
          <w:r/>
        </w:p>
        <w:p w14:paraId="2709513A">
          <w:pPr>
            <w:pStyle w:val="189"/>
            <w:pBdr/>
            <w:tabs>
              <w:tab w:val="right" w:leader="dot" w:pos="8906"/>
            </w:tabs>
            <w:spacing/>
            <w:ind/>
            <w:rPr/>
          </w:pPr>
          <w:hyperlink w:tooltip="#_Toc28" w:anchor="_Toc28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6. Nicht-funktionale Anforderungen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13</w:t>
              <w:fldChar w:fldCharType="end"/>
            </w:r>
          </w:hyperlink>
          <w:r/>
        </w:p>
        <w:p w14:paraId="3BAB6796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29" w:anchor="_Toc29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6.1 Performance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13</w:t>
              <w:fldChar w:fldCharType="end"/>
            </w:r>
          </w:hyperlink>
          <w:r/>
        </w:p>
        <w:p w14:paraId="3F343E47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30" w:anchor="_Toc30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6.2 Browser-Kompatibilitaet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13</w:t>
              <w:fldChar w:fldCharType="end"/>
            </w:r>
          </w:hyperlink>
          <w:r/>
        </w:p>
        <w:p w14:paraId="46FB1184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31" w:anchor="_Toc31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6.3 Datenschutz und Datensicherheit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13</w:t>
              <w:fldChar w:fldCharType="end"/>
            </w:r>
          </w:hyperlink>
          <w:r/>
        </w:p>
        <w:p w14:paraId="01AC78F0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32" w:anchor="_Toc32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6.4 Verfuegbarkeit und Wartbarkeit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13</w:t>
              <w:fldChar w:fldCharType="end"/>
            </w:r>
          </w:hyperlink>
          <w:r/>
        </w:p>
        <w:p w14:paraId="3392D3E9">
          <w:pPr>
            <w:pStyle w:val="189"/>
            <w:pBdr/>
            <w:tabs>
              <w:tab w:val="right" w:leader="dot" w:pos="8906"/>
            </w:tabs>
            <w:spacing/>
            <w:ind/>
            <w:rPr/>
          </w:pPr>
          <w:hyperlink w:tooltip="#_Toc33" w:anchor="_Toc33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7. Schnittstellen und Integrationen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15</w:t>
              <w:fldChar w:fldCharType="end"/>
            </w:r>
          </w:hyperlink>
          <w:r/>
        </w:p>
        <w:p w14:paraId="3E7BD818">
          <w:pPr>
            <w:pStyle w:val="189"/>
            <w:pBdr/>
            <w:tabs>
              <w:tab w:val="right" w:leader="dot" w:pos="8906"/>
            </w:tabs>
            <w:spacing/>
            <w:ind/>
            <w:rPr/>
          </w:pPr>
          <w:hyperlink w:tooltip="#_Toc34" w:anchor="_Toc34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8. Buchungstypen und Geschaeftsregeln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16</w:t>
              <w:fldChar w:fldCharType="end"/>
            </w:r>
          </w:hyperlink>
          <w:r/>
        </w:p>
        <w:p w14:paraId="584747AB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35" w:anchor="_Toc35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8.1 Buchungstypen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16</w:t>
              <w:fldChar w:fldCharType="end"/>
            </w:r>
          </w:hyperlink>
          <w:r/>
        </w:p>
        <w:p w14:paraId="7EF58231">
          <w:pPr>
            <w:pStyle w:val="190"/>
            <w:pBdr/>
            <w:tabs>
              <w:tab w:val="right" w:leader="dot" w:pos="8906"/>
            </w:tabs>
            <w:spacing/>
            <w:ind/>
            <w:rPr/>
          </w:pPr>
          <w:hyperlink w:tooltip="#_Toc36" w:anchor="_Toc36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8.2 Lueckenerkennung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16</w:t>
              <w:fldChar w:fldCharType="end"/>
            </w:r>
          </w:hyperlink>
          <w:r/>
        </w:p>
        <w:p w14:paraId="7D1E7DB7">
          <w:pPr>
            <w:pStyle w:val="191"/>
            <w:pBdr/>
            <w:tabs>
              <w:tab w:val="right" w:leader="dot" w:pos="8906"/>
            </w:tabs>
            <w:spacing/>
            <w:ind/>
            <w:rPr/>
          </w:pPr>
          <w:hyperlink w:tooltip="#_Toc37" w:anchor="_Toc37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Betrieb-Luecke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16</w:t>
              <w:fldChar w:fldCharType="end"/>
            </w:r>
          </w:hyperlink>
          <w:r/>
        </w:p>
        <w:p w14:paraId="0070A707">
          <w:pPr>
            <w:pStyle w:val="191"/>
            <w:pBdr/>
            <w:tabs>
              <w:tab w:val="right" w:leader="dot" w:pos="8906"/>
            </w:tabs>
            <w:spacing/>
            <w:ind/>
            <w:rPr/>
          </w:pPr>
          <w:hyperlink w:tooltip="#_Toc38" w:anchor="_Toc38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Pikett-Luecke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16</w:t>
              <w:fldChar w:fldCharType="end"/>
            </w:r>
          </w:hyperlink>
          <w:r/>
        </w:p>
        <w:p w14:paraId="7EA4CB07">
          <w:pPr>
            <w:pStyle w:val="189"/>
            <w:pBdr/>
            <w:tabs>
              <w:tab w:val="right" w:leader="dot" w:pos="8906"/>
            </w:tabs>
            <w:spacing/>
            <w:ind/>
            <w:rPr/>
          </w:pPr>
          <w:hyperlink w:tooltip="#_Toc39" w:anchor="_Toc39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9. Abnahmekriterien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17</w:t>
              <w:fldChar w:fldCharType="end"/>
            </w:r>
          </w:hyperlink>
          <w:r/>
        </w:p>
        <w:p w14:paraId="759AA916">
          <w:pPr>
            <w:pStyle w:val="189"/>
            <w:pBdr/>
            <w:tabs>
              <w:tab w:val="right" w:leader="dot" w:pos="8906"/>
            </w:tabs>
            <w:spacing/>
            <w:ind/>
            <w:rPr/>
          </w:pPr>
          <w:hyperlink w:tooltip="#_Toc40" w:anchor="_Toc40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10. Roadmap - Optionale Erweiterungen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18</w:t>
              <w:fldChar w:fldCharType="end"/>
            </w:r>
          </w:hyperlink>
          <w:r/>
        </w:p>
        <w:p w14:paraId="19F7CB25">
          <w:pPr>
            <w:pStyle w:val="189"/>
            <w:pBdr/>
            <w:tabs>
              <w:tab w:val="right" w:leader="dot" w:pos="8906"/>
            </w:tabs>
            <w:spacing/>
            <w:ind/>
            <w:rPr/>
          </w:pPr>
          <w:hyperlink w:tooltip="#_Toc41" w:anchor="_Toc41" w:history="1">
            <w:r>
              <w:rPr>
                <w:rStyle w:val="739"/>
              </w:rPr>
            </w:r>
            <w:r>
              <w:rPr>
                <w:rStyle w:val="739"/>
                <w:rFonts w:ascii="Arial" w:hAnsi="Arial" w:eastAsia="Arial" w:cs="Arial"/>
              </w:rPr>
              <w:t xml:space="preserve">11. Anhang: Glossar</w:t>
            </w:r>
            <w:r>
              <w:rPr>
                <w:rStyle w:val="739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19</w:t>
              <w:fldChar w:fldCharType="end"/>
            </w:r>
          </w:hyperlink>
          <w:r/>
        </w:p>
        <w:p w14:paraId="5E493364">
          <w:pPr>
            <w:pBdr/>
            <w:spacing/>
            <w:ind/>
            <w:rPr/>
          </w:pPr>
          <w:r/>
          <w:r>
            <w:fldChar w:fldCharType="end"/>
          </w:r>
          <w:r/>
          <w:r/>
        </w:p>
      </w:sdtContent>
    </w:sdt>
    <w:p>
      <w:pPr>
        <w:pStyle w:val="746"/>
        <w:pBdr/>
        <w:spacing w:after="160" w:before="400"/>
        <w:ind/>
        <w:rPr/>
      </w:pPr>
      <w:r/>
      <w:bookmarkStart w:id="1" w:name="_Toc1"/>
      <w:r>
        <w:rPr>
          <w:rFonts w:ascii="Arial" w:hAnsi="Arial" w:eastAsia="Arial" w:cs="Arial"/>
          <w:b/>
          <w:bCs/>
          <w:color w:val="003f7f"/>
          <w:sz w:val="32"/>
          <w:szCs w:val="32"/>
        </w:rPr>
        <w:t xml:space="preserve">1. Einleitung</w:t>
      </w:r>
      <w:r/>
      <w:bookmarkEnd w:id="1"/>
      <w:r/>
      <w:r/>
    </w:p>
    <w:p>
      <w:pPr>
        <w:pStyle w:val="747"/>
        <w:pBdr/>
        <w:spacing w:after="120" w:before="280"/>
        <w:ind/>
        <w:rPr/>
      </w:pPr>
      <w:r/>
      <w:bookmarkStart w:id="2" w:name="_Toc2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1.1 Zweck des Dokuments</w:t>
      </w:r>
      <w:r/>
      <w:bookmarkEnd w:id="2"/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Dieses Las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tenheft beschreibt die vollst</w:t>
      </w:r>
      <w:r>
        <w:rPr>
          <w:rFonts w:ascii="Arial" w:hAnsi="Arial" w:eastAsia="Arial" w:cs="Arial"/>
          <w:color w:val="1a1a1a"/>
          <w:sz w:val="22"/>
          <w:szCs w:val="22"/>
          <w:lang w:val="de-DE"/>
        </w:rPr>
        <w:t xml:space="preserve">ä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ndigen Anforderungen an die N</w:t>
      </w:r>
      <w:r>
        <w:rPr>
          <w:rFonts w:ascii="Arial" w:hAnsi="Arial" w:eastAsia="Arial" w:cs="Arial"/>
          <w:color w:val="1a1a1a"/>
          <w:sz w:val="22"/>
          <w:szCs w:val="22"/>
          <w:lang w:val="de-DE"/>
        </w:rPr>
        <w:t xml:space="preserve">e</w:t>
      </w:r>
      <w:r>
        <w:rPr>
          <w:rFonts w:ascii="Arial" w:hAnsi="Arial" w:eastAsia="Arial" w:cs="Arial"/>
          <w:color w:val="1a1a1a"/>
          <w:sz w:val="22"/>
          <w:szCs w:val="22"/>
          <w:lang w:val="de-DE"/>
        </w:rPr>
        <w:t xml:space="preserve">ue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ntwicklung des SAFe PI Capacity Planners als webbasierte Anwendung. Es richtet sich an externe Entwicklungsdienstleister und bildet die verbindliche Grundlage für Angebot, Vertrag und Abnahme.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Das Dokument definiert, was das System leisten muss (funktionale 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Anforderungen), unter welchen Bedingungen es betrieben wird (nicht-funktionale Anforderungen) und welche Abnahmekriterien erfüllt sein müssen. Die Wahl der Technologie und Architektur liegt beim Auftragnehmer, sofern die Anforderungen eingehalten werden.</w:t>
      </w:r>
      <w:r/>
    </w:p>
    <w:p>
      <w:pPr>
        <w:pBdr/>
        <w:spacing w:after="0" w:before="8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3" w:name="_Toc3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1.2 Ausgangslage</w:t>
      </w:r>
      <w:r/>
      <w:bookmarkEnd w:id="3"/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Das Bundesamt für Informatik und Telekommunikation (BIT) setz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t zur Software-Entwicklung das Scaled Agile Framework (SAFe) ein. Alle sechs bis acht Wochen findet ein PI Planning statt, in dem Teams ihre verfügbare Kapazit</w:t>
      </w:r>
      <w:r>
        <w:rPr>
          <w:rFonts w:ascii="Arial" w:hAnsi="Arial" w:eastAsia="Arial" w:cs="Arial"/>
          <w:color w:val="1a1a1a"/>
          <w:sz w:val="22"/>
          <w:szCs w:val="22"/>
          <w:lang w:val="de-DE"/>
        </w:rPr>
        <w:t xml:space="preserve">ä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t in Story Points (SP) berechnen und Aufgaben für das kommende Program Increment (PI) planen.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Bisher erfolgte diese Kapazit</w:t>
      </w:r>
      <w:r>
        <w:rPr>
          <w:rFonts w:ascii="Arial" w:hAnsi="Arial" w:eastAsia="Arial" w:cs="Arial"/>
          <w:color w:val="1a1a1a"/>
          <w:sz w:val="22"/>
          <w:szCs w:val="22"/>
          <w:lang w:val="de-DE"/>
        </w:rPr>
        <w:t xml:space="preserve">ä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t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splanung manuell in Excel. Dies führt zu Medienbrüchen, hohem Pflegeaufwand und fehlender Transparenz für alle Beteiligten. Eine webbasierte L</w:t>
      </w:r>
      <w:r>
        <w:rPr>
          <w:rFonts w:ascii="Arial" w:hAnsi="Arial" w:eastAsia="Arial" w:cs="Arial"/>
          <w:color w:val="1a1a1a"/>
          <w:sz w:val="22"/>
          <w:szCs w:val="22"/>
          <w:lang w:val="de-DE"/>
        </w:rPr>
        <w:t xml:space="preserve">ö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sung soll den Prozess digitalisieren, standardisieren und für mehrere Teams gleichzeitig zug</w:t>
      </w:r>
      <w:r>
        <w:rPr>
          <w:rFonts w:ascii="Arial" w:hAnsi="Arial" w:eastAsia="Arial" w:cs="Arial"/>
          <w:color w:val="1a1a1a"/>
          <w:sz w:val="22"/>
          <w:szCs w:val="22"/>
          <w:lang w:val="de-DE"/>
        </w:rPr>
        <w:t xml:space="preserve">ä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nglich machen.</w:t>
      </w:r>
      <w:r/>
    </w:p>
    <w:p>
      <w:pPr>
        <w:pBdr/>
        <w:spacing w:after="0" w:before="8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4" w:name="_Toc4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1.3 Auftraggeber</w:t>
      </w:r>
      <w:r/>
      <w:bookmarkEnd w:id="4"/>
      <w:r/>
      <w:r/>
    </w:p>
    <w:tbl>
      <w:tblPr>
        <w:tblW w:w="89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5760"/>
      </w:tblGrid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Organisation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Bundesamt für Informatik und Telekommunikation (BIT)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Adresse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Eichenweg 1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, 3003 Bern, Schweiz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Kontext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Schweizerische Bundesverwaltung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Rahmenwerk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SAFe (Scaled Agile Framework)</w:t>
            </w:r>
            <w:r/>
          </w:p>
        </w:tc>
      </w:tr>
    </w:tbl>
    <w:p>
      <w:pPr>
        <w:pBdr/>
        <w:spacing w:after="0" w:before="8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5" w:name="_Toc5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1.4 Geltungsbereich</w:t>
      </w:r>
      <w:r/>
      <w:bookmarkEnd w:id="5"/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Dieses La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stenheft beschreibt alle Funktionen, die zum Zeitpunkt der Ausschreibung (April 2026) als Anforderungen definiert sind. Roadmap-Features (Phase 6+) werden in Kapitel 10 als optionale Erweiterungen aufgeführt und sind nicht Bestandteil der Grundbestellung.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6"/>
        <w:pBdr/>
        <w:spacing w:after="160" w:before="400"/>
        <w:ind/>
        <w:rPr/>
      </w:pPr>
      <w:r/>
      <w:bookmarkStart w:id="6" w:name="_Toc6"/>
      <w:r>
        <w:rPr>
          <w:rFonts w:ascii="Arial" w:hAnsi="Arial" w:eastAsia="Arial" w:cs="Arial"/>
          <w:b/>
          <w:bCs/>
          <w:color w:val="003f7f"/>
          <w:sz w:val="32"/>
          <w:szCs w:val="32"/>
        </w:rPr>
        <w:t xml:space="preserve">2. Projektziel und Systemübersicht</w:t>
      </w:r>
      <w:r/>
      <w:bookmarkEnd w:id="6"/>
      <w:r/>
      <w:r/>
    </w:p>
    <w:p>
      <w:pPr>
        <w:pStyle w:val="747"/>
        <w:pBdr/>
        <w:spacing w:after="120" w:before="280"/>
        <w:ind/>
        <w:rPr/>
      </w:pPr>
      <w:r/>
      <w:bookmarkStart w:id="7" w:name="_Toc7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2.1 Projektziel</w:t>
      </w:r>
      <w:r/>
      <w:bookmarkEnd w:id="7"/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Der SAFe PI Capacity Planner ist eine webbasierte Mehrbenutzerlosung zur Kapazit</w:t>
      </w:r>
      <w:r>
        <w:rPr>
          <w:rFonts w:ascii="Arial" w:hAnsi="Arial" w:eastAsia="Arial" w:cs="Arial"/>
          <w:color w:val="1a1a1a"/>
          <w:sz w:val="22"/>
          <w:szCs w:val="22"/>
          <w:lang w:val="de-DE"/>
        </w:rPr>
        <w:t xml:space="preserve">ä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tsplanung für SAFe PI Plan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ning in der Bundesverwaltung. Das System erm</w:t>
      </w:r>
      <w:r>
        <w:rPr>
          <w:rFonts w:ascii="Arial" w:hAnsi="Arial" w:eastAsia="Arial" w:cs="Arial"/>
          <w:color w:val="1a1a1a"/>
          <w:sz w:val="22"/>
          <w:szCs w:val="22"/>
          <w:lang w:val="de-DE"/>
        </w:rPr>
        <w:t xml:space="preserve">ö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glicht es Teams, ihre verfügbaren Story Points pro PI und Iteration zu berechnen, indem es individuelle Mitarbeiterabsenzen, Feiertage, Schulferien, Betriebsaufgaben und Pikett-Verpflichtungen berücksichtigt.</w:t>
      </w:r>
      <w:r/>
    </w:p>
    <w:p>
      <w:pPr>
        <w:pBdr/>
        <w:spacing w:after="0" w:before="8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8" w:name="_Toc8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2.2 Kernfunktionen im Überblick</w:t>
      </w:r>
      <w:r/>
      <w:bookmarkEnd w:id="8"/>
      <w:r/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Verwaltung von Mitarbeiterstammdaten (CRUD, CSV-Import/-Export)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Visuelle Absenzbuchung via Drag-and-Drop im Kalender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Automatische Berechnung verfügbarer Story Points pro Mitarbeiter, Team und Iteration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Dashboard mit KPI-Karten, Diagrammen und automatischer Lückenerkennung (Betrieb, Pikett)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PI Dashboard: Vergleich Jira-SP vs. berechnete SP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Echtzeit-Synchronisation für mehrere gleichzeitige Benutzer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Mandantenf</w:t>
      </w:r>
      <w:r>
        <w:rPr>
          <w:rFonts w:ascii="Arial" w:hAnsi="Arial" w:eastAsia="Arial" w:cs="Arial"/>
          <w:color w:val="1a1a1a"/>
          <w:sz w:val="22"/>
          <w:szCs w:val="22"/>
          <w:lang w:val="de-DE"/>
        </w:rPr>
        <w:t xml:space="preserve">ä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higkeit: mehrere Agile Release Trains (ART) isoliert verwaltbar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Vollst</w:t>
      </w:r>
      <w:r>
        <w:rPr>
          <w:rFonts w:ascii="Arial" w:hAnsi="Arial" w:eastAsia="Arial" w:cs="Arial"/>
          <w:color w:val="1a1a1a"/>
          <w:sz w:val="22"/>
          <w:szCs w:val="22"/>
          <w:lang w:val="de-DE"/>
        </w:rPr>
        <w:t xml:space="preserve">ä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ndige Export-Funktionen (PDF, PNG, JSON-Backup)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Corporate Design Bund (Bundesblau, Bundesrot, Swiss Design System)</w:t>
      </w:r>
      <w:r/>
    </w:p>
    <w:p>
      <w:pPr>
        <w:pBdr/>
        <w:spacing w:after="0" w:before="8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9" w:name="_Toc9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2.3 Systemgrenzen (Out of Scope)</w:t>
      </w:r>
      <w:r/>
      <w:bookmarkEnd w:id="9"/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Folgende Bereiche sind explizit nicht Bestandteil dieser Ausschreibung: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Mobile App (nativer iOS/Android-Client)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SSO / Active Directory / LDAP Integration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SAP-Integration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Automatische Feiertagsberechnung (manuelle Pflege via CSV)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Jira REST API Integration (manuelle SP-Eingabe, keine automatische Synchronisation)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6"/>
        <w:pBdr/>
        <w:spacing w:after="160" w:before="400"/>
        <w:ind/>
        <w:rPr/>
      </w:pPr>
      <w:r/>
      <w:bookmarkStart w:id="10" w:name="_Toc10"/>
      <w:r>
        <w:rPr>
          <w:rFonts w:ascii="Arial" w:hAnsi="Arial" w:eastAsia="Arial" w:cs="Arial"/>
          <w:b/>
          <w:bCs/>
          <w:color w:val="003f7f"/>
          <w:sz w:val="32"/>
          <w:szCs w:val="32"/>
        </w:rPr>
        <w:t xml:space="preserve">3. Benutzergruppen</w:t>
      </w:r>
      <w:r/>
      <w:bookmarkEnd w:id="10"/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Die Anwendung richtet sich an folgende Benutzergruppen:</w:t>
      </w:r>
      <w:r/>
    </w:p>
    <w:p>
      <w:pPr>
        <w:pBdr/>
        <w:spacing w:after="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Rolle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Hauptaufgaben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Scrum Master / Chapter Lead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Prim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rnutzer der Anwendung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Absenzen erfassen, Kapazit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 berechnen, Dashboard auswerten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IT-Manager / Train Engineer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berblick über alle Teams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PI-Planung konfigurieren, Zielwerte setzen, Berichte exportieren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Product Owner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Jira-Daten pflegen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SP in Jira pro Team und Iteration manuell erfassen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Train-Administrator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Systemverwaltung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Trains verwalten, Daten zurücksetzen, Admin-Code verwalten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46"/>
        <w:pBdr/>
        <w:spacing w:after="160" w:before="400"/>
        <w:ind/>
        <w:rPr/>
      </w:pPr>
      <w:r/>
      <w:bookmarkStart w:id="11" w:name="_Toc11"/>
      <w:r>
        <w:rPr>
          <w:rFonts w:ascii="Arial" w:hAnsi="Arial" w:eastAsia="Arial" w:cs="Arial"/>
          <w:b/>
          <w:bCs/>
          <w:color w:val="003f7f"/>
          <w:sz w:val="32"/>
          <w:szCs w:val="32"/>
        </w:rPr>
        <w:t xml:space="preserve">4. Konzept</w:t>
      </w:r>
      <w:r>
        <w:rPr>
          <w:rFonts w:ascii="Arial" w:hAnsi="Arial" w:eastAsia="Arial" w:cs="Arial"/>
          <w:b/>
          <w:bCs/>
          <w:color w:val="003f7f"/>
          <w:sz w:val="32"/>
          <w:szCs w:val="32"/>
          <w:lang w:val="de-DE"/>
        </w:rPr>
        <w:t xml:space="preserve">ionelles</w:t>
      </w:r>
      <w:r>
        <w:rPr>
          <w:rFonts w:ascii="Arial" w:hAnsi="Arial" w:eastAsia="Arial" w:cs="Arial"/>
          <w:b/>
          <w:bCs/>
          <w:color w:val="003f7f"/>
          <w:sz w:val="32"/>
          <w:szCs w:val="32"/>
        </w:rPr>
        <w:t xml:space="preserve"> Datenmodell</w:t>
      </w:r>
      <w:r/>
      <w:bookmarkEnd w:id="11"/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Das folgende Modell beschreibt die zentralen Entit</w:t>
      </w:r>
      <w:r>
        <w:rPr>
          <w:rFonts w:ascii="Arial" w:hAnsi="Arial" w:eastAsia="Arial" w:cs="Arial"/>
          <w:color w:val="1a1a1a"/>
          <w:sz w:val="22"/>
          <w:szCs w:val="22"/>
          <w:lang w:val="de-DE"/>
        </w:rPr>
        <w:t xml:space="preserve">ä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ten und ihre Beziehungen. Die konkrete technische Umsetzung (Datenbankschema, ORM, etc.) obliegt dem Auftragnehmer.</w:t>
      </w:r>
      <w:r/>
    </w:p>
    <w:p>
      <w:pPr>
        <w:pBdr/>
        <w:spacing w:after="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Entitaet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Schlüsselattribute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Mitarbeiter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Stammdaten einer Person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Vorname, Name, Team, Typ (intern/extern), FTE, Kapazit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tsprozent, Betriebsprozent, Pauschalprozent, SP/Tag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Buchung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Absenzeintrag eines Mitarbeiters für einen Tag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Mitarbeiter-Referenz, Datum, Buchungstyp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Buchungstyp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Kategorie der Buchung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FERIEN, ABWESEND, TEILZEIT, MILITAER, IPA, BETRIEB, BETRIEB_PIKETT, PIKETT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PI-Planung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Program Increment Zeitrahmen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Name (z.B. PI26-1), Startdatum, Enddatum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Iteration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Sprint innerhalb eines PI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Name, Startdatum, Enddatum, PI-Referenz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Feiertag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Gesetzlicher Feiertag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Name, Startdatum, Enddatum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Schulferien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Schulferienperiode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Name, Startdatum, Enddatum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Blocker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Gesperrter Zeitraum / Change-Freeze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Name, Startdatum, Enddatum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Team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Organisationseinheit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Name, Mindestbesetzung Betrieb, Mindestbesetzung Pikett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PI-Teamziel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Soll-SP aus Jira pro PI und Team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PI-Referenz, Team, SP in Jira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Globale Konfiguration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Systemweite Parameter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SP pro Tag (Standard: 1), Stunden pro Jahr (Standard: 1600)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Train (Mandant)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Isolierter Agile Release Train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Name, Erstellungsdatum, Admin-Code (gehasht)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46"/>
        <w:pBdr/>
        <w:spacing w:after="160" w:before="400"/>
        <w:ind/>
        <w:rPr/>
      </w:pPr>
      <w:r/>
      <w:bookmarkStart w:id="12" w:name="_Toc12"/>
      <w:r>
        <w:rPr>
          <w:rFonts w:ascii="Arial" w:hAnsi="Arial" w:eastAsia="Arial" w:cs="Arial"/>
          <w:b/>
          <w:bCs/>
          <w:color w:val="003f7f"/>
          <w:sz w:val="32"/>
          <w:szCs w:val="32"/>
        </w:rPr>
        <w:t xml:space="preserve">5. Funktionale Anforderungen</w:t>
      </w:r>
      <w:r/>
      <w:bookmarkEnd w:id="12"/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Priorit</w:t>
      </w:r>
      <w:r>
        <w:rPr>
          <w:rFonts w:ascii="Arial" w:hAnsi="Arial" w:eastAsia="Arial" w:cs="Arial"/>
          <w:color w:val="1a1a1a"/>
          <w:sz w:val="22"/>
          <w:szCs w:val="22"/>
          <w:lang w:val="de-DE"/>
        </w:rPr>
        <w:t xml:space="preserve">ä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ten: MUSS = zwingend für Abnahme | SOLL = erwartet, Abweichung begr</w:t>
      </w:r>
      <w:r>
        <w:rPr>
          <w:rFonts w:ascii="Arial" w:hAnsi="Arial" w:eastAsia="Arial" w:cs="Arial"/>
          <w:color w:val="1a1a1a"/>
          <w:sz w:val="22"/>
          <w:szCs w:val="22"/>
          <w:lang w:val="de-DE"/>
        </w:rPr>
        <w:t xml:space="preserve">ü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ndungspflichtig | KANN = optional</w:t>
      </w:r>
      <w:r/>
    </w:p>
    <w:p>
      <w:pPr>
        <w:pBdr/>
        <w:spacing w:after="0" w:before="12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13" w:name="_Toc13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5.1 Navigation und Grundstruktur</w:t>
      </w:r>
      <w:r/>
      <w:bookmarkEnd w:id="13"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800"/>
        <w:gridCol w:w="4560"/>
        <w:gridCol w:w="80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Titel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F-01.1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Navigations-Tabs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Die Anwendung verfügt über folgende Hauptbereiche: Planung, Kapazit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t, Dashboard, PI Dashboard, Einstellungen, Admin.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F-01.2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Train-Auswahl (Splash Screen)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Beim Start wird ein Auswahl-Bildschirm angezeigt, auf dem der Benutzer seinen Agile Release Train w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hlt.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F-01.3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Aktiver Train im Header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Der Name des aktiven Trains wird im Header angezeigt. Ein Wechsel-Button erm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ö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glicht die Rückkehr zur Train-Auswahl.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F-01.4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Verbindungsindikator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Ein vis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ue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ller Indikator zeigt den Verbindungsstatus zur Echtzeit-Synchronisation an.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F-01.5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Bundeslogo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Das offizielle Schweizer Bundeslogo wird im Header angezeigt.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</w:tbl>
    <w:p>
      <w:pPr>
        <w:pBdr/>
        <w:spacing w:after="0" w:before="20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14" w:name="_Toc14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5.2 Mitarbeiterverwaltung</w:t>
      </w:r>
      <w:r/>
      <w:bookmarkEnd w:id="14"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800"/>
        <w:gridCol w:w="4560"/>
        <w:gridCol w:w="80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Titel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F-02.1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Mitarbeiter CRUD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Vollst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ndige CRUD-Operationen: Vorname, Name, Team, Typ (intern/extern), FTE, Kapazit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tsprozent, Betriebsprozent, Pauschalprozent, SP/Tag.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F-02.2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CSV-Import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Mitarbeiterstammdaten k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ö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nnen als CSV importiert werden. Formatfehler werden erkannt und gemeldet.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F-02.3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CSV-Export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Mitarbeiterstammdaten koennen als CSV exportiert werden.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F-02.4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Validierung Kapazit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tswerte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Das System prüft: Betriebsprozent + Pauschalprozent &lt;= Kapazit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tsprozent. Ungültige Eintr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ge werden markiert.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F-02.5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Filter und Suche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Mitarbeiterliste kann nach Team, Typ und Freitext gefiltert werden.</w:t>
            </w:r>
            <w:r/>
          </w:p>
        </w:tc>
        <w:tc>
          <w:tcPr>
            <w:shd w:val="clear" w:color="auto" w:fill="fef9c3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SOLL</w:t>
            </w:r>
            <w:r/>
          </w:p>
        </w:tc>
      </w:tr>
    </w:tbl>
    <w:p>
      <w:pPr>
        <w:pBdr/>
        <w:spacing w:after="0" w:before="20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15" w:name="_Toc15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5.3 PI-Planung und Iterationen</w:t>
      </w:r>
      <w:r/>
      <w:bookmarkEnd w:id="15"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800"/>
        <w:gridCol w:w="4560"/>
        <w:gridCol w:w="80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Titel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F-03.1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PI-Planung CRUD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Verwaltung von PI-Planungen mit Name, Startdatum und Enddatum.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F-03.2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Iterationen pro PI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Zu jedem PI k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ö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nnen Iterationen mit Name, Startdatum und Enddatum angelegt werden.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F-03.3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CSV-Import/-Export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PI-Planungen und Iterationen koennen als CSV importiert und exportiert werden.</w:t>
            </w:r>
            <w:r/>
          </w:p>
        </w:tc>
        <w:tc>
          <w:tcPr>
            <w:shd w:val="clear" w:color="auto" w:fill="fef9c3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SOLL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F-03.4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Validierung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berlappende Iterationen werden abgelehnt. Datumsinkonsistenzen werden gemeldet.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</w:tbl>
    <w:p>
      <w:pPr>
        <w:pBdr/>
        <w:spacing w:after="0" w:before="20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16" w:name="_Toc16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5.4 Kalender-Ereignisse</w:t>
      </w:r>
      <w:r/>
      <w:bookmarkEnd w:id="16"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800"/>
        <w:gridCol w:w="4560"/>
        <w:gridCol w:w="80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Titel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F-04.1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Gesetzliche Feiertage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CRUD + CSV-Import/-Export für gesetzliche Feiertage.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F-04.2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Schulferienperioden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CRUD + CSV-Import/-Export für Schulferienperioden.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F-04.3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Blocker / Change-Freeze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CRUD + CSV-Import/-Export. Change-Freeze-Tage mit Schneeflocken-Symbol im Kalender.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F-04.4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Keine SP-Auswirkung von Blockern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Blocker-Tage gelten als normale Arbeitstage (kein SP-Abzug). Nur visuelle Markierung.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</w:tbl>
    <w:p>
      <w:pPr>
        <w:pBdr/>
        <w:spacing w:after="0" w:before="20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17" w:name="_Toc17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5.5 Kalender-Ansicht und Absenzbuchung</w:t>
      </w:r>
      <w:r/>
      <w:bookmarkEnd w:id="17"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800"/>
        <w:gridCol w:w="4560"/>
        <w:gridCol w:w="80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Titel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F-05.1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Kalender-Grid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Tabellarische Ansicht: Zeilen = Mitarbeiter, Spalten = Tage. Wochenenden und Feiertage visuell unterscheidbar.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F-05.2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Drag-Buchung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Absenzen werden via Maus-Drag über mehrere Tage gebucht (Interpolation).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F-05.3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Buchungstypen und Farbcodes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FERIEN (Orange), ABWESEND (Dunkelgrau), TEILZEIT (Hellgelb), MILITAER (Hellgrün), IPA (Lila), BETRIEB (Hellblau), BETRIEB_PIKETT (Violett), PIKETT (Rosa).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F-05.4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Buchung aufheben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Bestehende Buchungen k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ö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nnen durch erneutes Klicken/Ziehen aufgehoben werden.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F-05.5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Filter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Die Kalender-Ansicht kann nach Team, PI und Iteration gefiltert werden.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F-05.6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Sticky Header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Spalten- und Zeilen-Header bleiben beim Scrollen fixiert.</w:t>
            </w:r>
            <w:r/>
          </w:p>
        </w:tc>
        <w:tc>
          <w:tcPr>
            <w:shd w:val="clear" w:color="auto" w:fill="fef9c3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SOLL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F-05.7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Legende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Eine Farbcode-Legende erklaert alle Buchungstypen.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</w:tbl>
    <w:p>
      <w:pPr>
        <w:pBdr/>
        <w:spacing w:after="0" w:before="20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18" w:name="_Toc18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5.6 Story-Point-Berechnung</w:t>
      </w:r>
      <w:r/>
      <w:bookmarkEnd w:id="18"/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Die SP-Berechnung erfolgt nach folgender verbindlicher Logik: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1 Arbeitstag = globalConfig.spPerDay SP (konfigurierbar, Standard: 1)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TEILZEIT = 0.5 x spPerDay SP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FERIEN, ABWESEND, MILITAER, IPA, BETRIEB, PIKETT, BETRIEB_PIKETT = 0 SP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FTE-Faktor: bei 80% FTE = 0.8 x Basis-SP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Betriebsanteil-Abzug: betriebPercent x verfügbare SP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Pauschale-Abzug: pauschalPercent x verfügbare SP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Wochenenden und gesetzliche Feiertage z</w:t>
      </w:r>
      <w:r>
        <w:rPr>
          <w:rFonts w:ascii="Arial" w:hAnsi="Arial" w:eastAsia="Arial" w:cs="Arial"/>
          <w:color w:val="1a1a1a"/>
          <w:sz w:val="22"/>
          <w:szCs w:val="22"/>
          <w:lang w:val="de-DE"/>
        </w:rPr>
        <w:t xml:space="preserve">ä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hlen nicht als Arbeitstage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Blocker-Tage z</w:t>
      </w:r>
      <w:r>
        <w:rPr>
          <w:rFonts w:ascii="Arial" w:hAnsi="Arial" w:eastAsia="Arial" w:cs="Arial"/>
          <w:color w:val="1a1a1a"/>
          <w:sz w:val="22"/>
          <w:szCs w:val="22"/>
          <w:lang w:val="de-DE"/>
        </w:rPr>
        <w:t xml:space="preserve">ä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hlen als normale Arbeitstage (kein SP-Abzug)</w:t>
      </w:r>
      <w:r/>
    </w:p>
    <w:p>
      <w:pPr>
        <w:pBdr/>
        <w:spacing w:after="0" w:before="10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800"/>
        <w:gridCol w:w="4560"/>
        <w:gridCol w:w="80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Titel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F-06.1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SP-Berechnung pro Mitarbeiter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Berechnung der verfügbaren SP pro Mitarbeiter für jede Iteration unter Berücksichtigung aller Absenzen, FTE, Betriebsanteil und Pauschale.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F-06.2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Team-Aggregation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SP werden pro Team und Iteration aggregiert und dargestellt.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F-06.3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PI-Aggregation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SP werden pro Team über alle Iterationen eines PI summiert.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F-06.4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Globale Parameter konfigurierbar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SP/Tag und Stunden/Jahr sind in den Einstellungen konfigurierbar.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</w:tbl>
    <w:p>
      <w:pPr>
        <w:pBdr/>
        <w:spacing w:after="0" w:before="20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19" w:name="_Toc19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5.7 Dashboard</w:t>
      </w:r>
      <w:r/>
      <w:bookmarkEnd w:id="19"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800"/>
        <w:gridCol w:w="4560"/>
        <w:gridCol w:w="80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Titel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F-07.1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KPI-Karten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Gesamtkapazit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 (SP), gebuchte Kapazit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 (SP), freie Kapazit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 (SP), Anzahl Mitarbeiter.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F-07.2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Balkendiagramm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Grafische Darstellung der SP-Kapazit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 pro Iteration (Soll vs. Ist).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F-07.3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Absenz-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bersichtstabelle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Tabellarische 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bersicht aller Absenzen pro Mitarbeiter und Buchungstyp.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F-07.4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Betrieb-L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ckenerkennung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Tage mit unzureichender Betrieb-Besetzung werden rot markiert.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F-07.5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Pikett-L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ckenerkennung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Tage (inkl. Wochenenden) mit unzureichender Pikett-Besetzung werden rot markiert.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F-07.6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Filter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Dashboard-Daten k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Ö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nnen nach Team, PI und Iteration gefiltert werden.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</w:tbl>
    <w:p>
      <w:pPr>
        <w:pBdr/>
        <w:spacing w:after="0" w:before="20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20" w:name="_Toc20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5.8 PI Dashboard</w:t>
      </w:r>
      <w:r/>
      <w:bookmarkEnd w:id="20"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800"/>
        <w:gridCol w:w="4560"/>
        <w:gridCol w:w="80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Titel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F-08.1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SP-Vergleich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Gegen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berstellung: geplante SP (Jira, manuell erfasst) vs. berechnete verf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gbare SP pro PI, Team und Iteration.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F-08.2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Manuelle Jira-SP Eingabe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Product Owner k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ö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nnen die geplanten SP aus Jira direkt in der Anwendung erfassen.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F-08.3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Farbkodierung Auslastung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Auslastung &lt; 85%: gr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 | 85-100%: orange | &gt; 100%: rot.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F-08.4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Export PDF/PNG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Das PI Dashboard kann als PDF und PNG exportiert werden.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F-08.5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Server-seitige Datenhaltung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Jira-SP Werte werden server-seitig gespeichert (nicht im Browser-LocalStorage).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</w:tbl>
    <w:p>
      <w:pPr>
        <w:pBdr/>
        <w:spacing w:after="0" w:before="20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21" w:name="_Toc21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5.9 Export-Funktionen</w:t>
      </w:r>
      <w:r/>
      <w:bookmarkEnd w:id="21"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800"/>
        <w:gridCol w:w="4560"/>
        <w:gridCol w:w="80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Titel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F-09.1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Kalender-Export PDF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Die Planungsansicht kann als PDF exportiert werden (mit Bundeslogo im Header).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F-09.2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Kalender-Export PNG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Die Planungsansicht kann als PNG-Bild exportiert werden (f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 Confluence).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F-09.3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PI Dashboard Export PDF/PNG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Das PI Dashboard kann als PDF und PNG exportiert werden.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F-09.4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Dokumentation Download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Die Benutzerdokumentation ist direkt aus der Anwendung herunterladbar.</w:t>
            </w:r>
            <w:r/>
          </w:p>
        </w:tc>
        <w:tc>
          <w:tcPr>
            <w:shd w:val="clear" w:color="auto" w:fill="fef9c3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SOLL</w:t>
            </w:r>
            <w:r/>
          </w:p>
        </w:tc>
      </w:tr>
    </w:tbl>
    <w:p>
      <w:pPr>
        <w:pBdr/>
        <w:spacing w:after="0" w:before="20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22" w:name="_Toc22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5.10 Einstellungen und Konfiguration</w:t>
      </w:r>
      <w:r/>
      <w:bookmarkEnd w:id="22"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800"/>
        <w:gridCol w:w="4560"/>
        <w:gridCol w:w="80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Titel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F-10.1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Team-Konfiguration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Pro Team: Mindestanzahl BETRIEB-Buchungen/Arbeitstag, Mindestanzahl PIKETT-Buchungen/Tag (inkl. Wochenende).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F-10.2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Globale Parameter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Konfigurierbar: SP pro Tag, Arbeitsstunden pro Jahr.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F-10.3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Team-Zielwerte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Soll-SP pro Team konfigurierbar. CSV-Import/-Export.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F-10.4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Buchungstyp-Farben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Farben der Buchungstypen via Color-Picker anpassbar. Reset auf Standardwerte moeglich.</w:t>
            </w:r>
            <w:r/>
          </w:p>
        </w:tc>
        <w:tc>
          <w:tcPr>
            <w:shd w:val="clear" w:color="auto" w:fill="fef9c3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SOLL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F-10.5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CSV Farbkonfiguration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Farbkonfiguration kann als CSV exportiert und importiert werden.</w:t>
            </w:r>
            <w:r/>
          </w:p>
        </w:tc>
        <w:tc>
          <w:tcPr>
            <w:shd w:val="clear" w:color="auto" w:fill="dcfce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KANN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F-10.6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Navigierbare Abschnitte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Klick auf Einstellungs-Abschnitt scrollt automatisch dorthin.</w:t>
            </w:r>
            <w:r/>
          </w:p>
        </w:tc>
        <w:tc>
          <w:tcPr>
            <w:shd w:val="clear" w:color="auto" w:fill="fef9c3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SOLL</w:t>
            </w:r>
            <w:r/>
          </w:p>
        </w:tc>
      </w:tr>
    </w:tbl>
    <w:p>
      <w:pPr>
        <w:pBdr/>
        <w:spacing w:after="0" w:before="20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23" w:name="_Toc23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5.11 Backup und Restore</w:t>
      </w:r>
      <w:r/>
      <w:bookmarkEnd w:id="23"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800"/>
        <w:gridCol w:w="4560"/>
        <w:gridCol w:w="80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Titel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F-11.1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Vollst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ndiger JSON-Export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Gesamter Anwendungszustand (Mitarbeiter, Buchungen, PIs, Feiertage, Schulferien, Blocker, Konfiguration, Jira-SP) als JSON-Datei.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F-11.2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Vollst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ndiger JSON-Import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Zuvor exportiertes Backup kann vollst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ndig wiederhergestellt werden.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F-11.3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Schema-Versionierung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JSON-Backup-Format enthaelt Versionsnummer. System kann Backups aelterer Versionen migrieren.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</w:tbl>
    <w:p>
      <w:pPr>
        <w:pBdr/>
        <w:spacing w:after="0" w:before="20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24" w:name="_Toc24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5.12 Mehrbenutzer-Unterstuetzung (Echtzeit)</w:t>
      </w:r>
      <w:r/>
      <w:bookmarkEnd w:id="24"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800"/>
        <w:gridCol w:w="4560"/>
        <w:gridCol w:w="80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Titel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F-12.1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Echtzeit-Synchronisation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nderungen werden ohne Seiten-Reload in Echtzeit an alle Benutzer des gleichen Trains 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bertragen.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F-12.2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Row-Locking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Bearbeitete Mitarbeiterzeile wird f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 andere Benutzer gesperrt (visuelles Feedback). Automatische Aufhebung.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F-12.3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Verbindungsstatus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Benutzer sehen jederzeit den Verbindungsstatus zur Echtzeit-Synchronisation.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</w:tbl>
    <w:p>
      <w:pPr>
        <w:pBdr/>
        <w:spacing w:after="0" w:before="20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25" w:name="_Toc25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5.13 Mandantenfaehigkeit (Multi-Train)</w:t>
      </w:r>
      <w:r/>
      <w:bookmarkEnd w:id="25"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800"/>
        <w:gridCol w:w="4560"/>
        <w:gridCol w:w="80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Titel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F-13.1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Mehrere Trains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Das System unterst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tzt mehrere volls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ndig isolierte Agile Release Trains (Mandanten).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F-13.2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Vollst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ndige Datenisolation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Daten sind strikt pro Train isoliert. Kein Zugriff auf Daten anderer Trains.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F-13.3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Train-Auswahl beim Start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Benutzer waehlt beim 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Ö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ffnen der Anwendung seinen Train.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F-13.4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Train-Verwaltung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Trains k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ö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nnen im Admin-Bereich erstellt, umbenannt und gel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ö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scht werden.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</w:tbl>
    <w:p>
      <w:pPr>
        <w:pBdr/>
        <w:spacing w:after="0" w:before="20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26" w:name="_Toc26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5.14 Admin-Bereich</w:t>
      </w:r>
      <w:r/>
      <w:bookmarkEnd w:id="26"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800"/>
        <w:gridCol w:w="4560"/>
        <w:gridCol w:w="80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Titel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F-14.1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Code-Schutz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Admin-Bereich durch 6-stelligen Code gesch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tzt. Session-Cache 15 Minuten.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F-14.2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Rate-Limiting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Nach 3 Fehlversuchen 60 Sekunden gesperrt (server-seitig).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F-14.3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Train-CRUD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Trains k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ö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nnen erstellt, umbenannt und gel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ö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scht werden.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F-14.4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Daten-Reset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Alle Daten eines Trains koennen zur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ckgesetzt werden (nach Best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tigung).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F-14.5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Admin-Code 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ndern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Der Admin-Code eines Trains kann ge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ndert werden.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</w:tbl>
    <w:p>
      <w:pPr>
        <w:pBdr/>
        <w:spacing w:after="0" w:before="20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27" w:name="_Toc27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5.15 Corporate Design Bund</w:t>
      </w:r>
      <w:r/>
      <w:bookmarkEnd w:id="27"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800"/>
        <w:gridCol w:w="4560"/>
        <w:gridCol w:w="80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Titel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F-15.1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Bundesblau Prim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rfarbe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Prim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rfarbe: Bundesblau (#003F7F) gem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ss CD Bund Manual.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F-15.2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Bundesrot Akzentfarbe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Akzentfarbe: Bundesrot (#E63312) gem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ss CD Bund Manual.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F-15.3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Schriftart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Frutiger als Prim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rschrift. Fallback: NotoSans (selbst-gehostet), Arial.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F-15.4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Bundeslogo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Offizielles Schweizer Bundeslogo im Header und in Exporten.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F-15.5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Swiss Design System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Farbdefinitionen folgen dem Swiss DS CSS-Schema (--color-primary-*, --color-secondary-*).</w:t>
            </w:r>
            <w:r/>
          </w:p>
        </w:tc>
        <w:tc>
          <w:tcPr>
            <w:shd w:val="clear" w:color="auto" w:fill="fef9c3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SOLL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F-15.6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Keine externen Fonts via CDN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Alle Schriftarten werden lokal eingebunden. Kein Abruf von externen Font-Diensten.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46"/>
        <w:pBdr/>
        <w:spacing w:after="160" w:before="400"/>
        <w:ind/>
        <w:rPr/>
      </w:pPr>
      <w:r/>
      <w:bookmarkStart w:id="28" w:name="_Toc28"/>
      <w:r>
        <w:rPr>
          <w:rFonts w:ascii="Arial" w:hAnsi="Arial" w:eastAsia="Arial" w:cs="Arial"/>
          <w:b/>
          <w:bCs/>
          <w:color w:val="003f7f"/>
          <w:sz w:val="32"/>
          <w:szCs w:val="32"/>
        </w:rPr>
        <w:t xml:space="preserve">6. Nicht-funktionale Anforderungen</w:t>
      </w:r>
      <w:r/>
      <w:bookmarkEnd w:id="28"/>
      <w:r/>
      <w:r/>
    </w:p>
    <w:p>
      <w:pPr>
        <w:pBdr/>
        <w:spacing w:after="0" w:before="8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29" w:name="_Toc29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6.1 Performance</w:t>
      </w:r>
      <w:r/>
      <w:bookmarkEnd w:id="29"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800"/>
        <w:gridCol w:w="4560"/>
        <w:gridCol w:w="80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Titel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NFR-P1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Ladezeit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Vollst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ndig geladen und bedienbar innerhalb von 3 Sekunden (&gt;= 10 Mbit/s).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NFR-P2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Drag-Reaktionszeit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Drag-Buchungen: &lt; 100 ms lokal, &lt; 300 ms nach Echtzeit-Sync.</w:t>
            </w:r>
            <w:r/>
          </w:p>
        </w:tc>
        <w:tc>
          <w:tcPr>
            <w:shd w:val="clear" w:color="auto" w:fill="fef9c3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SOLL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NFR-P3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Echtzeit-Sync-Latenz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nderungen innerhalb von 500 ms 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bertragen.</w:t>
            </w:r>
            <w:r/>
          </w:p>
        </w:tc>
        <w:tc>
          <w:tcPr>
            <w:shd w:val="clear" w:color="auto" w:fill="fef9c3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SOLL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NFR-P4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Gleichzeitige Benutzer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Ausgelegt f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 bis zu 20 gleichzeitig aktive Benutzer pro Train.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</w:tbl>
    <w:p>
      <w:pPr>
        <w:pBdr/>
        <w:spacing w:after="0" w:before="16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30" w:name="_Toc30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6.2 Browser-Kompatibilitaet</w:t>
      </w:r>
      <w:r/>
      <w:bookmarkEnd w:id="30"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800"/>
        <w:gridCol w:w="4560"/>
        <w:gridCol w:w="80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Titel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NFR-B1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Unterst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tzte Browser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Korrekte Funktion in aktuellen Versionen von: Chrome, Firefox, Edge, Safari.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NFR-B2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Desktop-Optimierung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Optimiert f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 Desktop (&gt;= 1280px). Mobile nicht erforderlich.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</w:tbl>
    <w:p>
      <w:pPr>
        <w:pBdr/>
        <w:spacing w:after="0" w:before="16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31" w:name="_Toc31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6.3 Datenschutz und Datensicherheit</w:t>
      </w:r>
      <w:r/>
      <w:bookmarkEnd w:id="31"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800"/>
        <w:gridCol w:w="4560"/>
        <w:gridCol w:w="80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Titel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NFR-S1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Keine externen Dienste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Kein Laden externer Ressourcen im Browser (keine CDN-Fonts, kein Analytics, kein Tracking).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NFR-S2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HTTPS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Anwendung ausschliesslich 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ber HTTPS betrieben.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NFR-S3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Kein LocalStorage f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r Kerndaten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Anwendungsdaten ausschliesslich server-seitig. Kein LocalStorage fuer gesch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ftliche Daten.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NFR-S4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Infrastruktur Schweiz / EU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Server in der Schweiz oder EU/EWR-Land mit angemessenem Datenschutzniveau.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NFR-S5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Admin-Code Sicherheit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Admin-Codes gehasht gespeichert. Rate-Limiting (3 Versuche, 60s Sperre).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</w:tbl>
    <w:p>
      <w:pPr>
        <w:pBdr/>
        <w:spacing w:after="0" w:before="16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32" w:name="_Toc32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6.4 Verfuegbarkeit und Wartbarkeit</w:t>
      </w:r>
      <w:r/>
      <w:bookmarkEnd w:id="32"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800"/>
        <w:gridCol w:w="4560"/>
        <w:gridCol w:w="80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Titel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NFR-V1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Verf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gbarkeit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Ziel: &gt;= 99% (monatlich gemessen, Wartungsfenster ausgenommen).</w:t>
            </w:r>
            <w:r/>
          </w:p>
        </w:tc>
        <w:tc>
          <w:tcPr>
            <w:shd w:val="clear" w:color="auto" w:fill="fef9c3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SOLL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NFR-V2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Backup Notfallmassnahme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JSON-Backup/-Restore erm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ö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glicht vollst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ndige Datenwiederherstellung.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NFR-V3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Technische Dokumentation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Installationshandbuch + Benutzerdokumentation vom Auftragnehmer.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NFR-V4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Quellcode-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bergabe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Vollst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ö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ndiger Quellcode, kompilierbar ohne propriet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re Build-Umgebungen.</w:t>
            </w:r>
            <w:r/>
          </w:p>
        </w:tc>
        <w:tc>
          <w:tcPr>
            <w:shd w:val="clear" w:color="auto" w:fill="fee2e2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MUSS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46"/>
        <w:pBdr/>
        <w:spacing w:after="160" w:before="400"/>
        <w:ind/>
        <w:rPr/>
      </w:pPr>
      <w:r/>
      <w:bookmarkStart w:id="33" w:name="_Toc33"/>
      <w:r>
        <w:rPr>
          <w:rFonts w:ascii="Arial" w:hAnsi="Arial" w:eastAsia="Arial" w:cs="Arial"/>
          <w:b/>
          <w:bCs/>
          <w:color w:val="003f7f"/>
          <w:sz w:val="32"/>
          <w:szCs w:val="32"/>
        </w:rPr>
        <w:t xml:space="preserve">7. Schnittstellen und Integrationen</w:t>
      </w:r>
      <w:r/>
      <w:bookmarkEnd w:id="33"/>
      <w:r/>
      <w:r/>
    </w:p>
    <w:p>
      <w:pPr>
        <w:pBdr/>
        <w:spacing w:after="0" w:before="80"/>
        <w:ind/>
        <w:rPr/>
      </w:pPr>
      <w:r/>
      <w:r/>
    </w:p>
    <w:tbl>
      <w:tblPr>
        <w:tblW w:w="87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1500"/>
        <w:gridCol w:w="4000"/>
        <w:gridCol w:w="106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Schnittstelle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CSV-Import/-Export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Datei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Import/Export aller Stammdaten (Mitarbeiter, PI-Planung, Feiertage, Schulferien, Blocker, Zielwerte).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JSON Backup/Restore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Datei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Vollst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ndiger Export und Import des Systemzustands.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PDF/PNG Export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Datei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Export von Kalenderansicht und PI Dashboard.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Echtzeit-Sync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WebSocket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Bidirektionale Echtzeit-Kommunikation f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 Multiuser-Unterst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tzung.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Jira (manuell)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Manuell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SP aus Jira werden manuell durch den PO erfasst. Keine API-Integration.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Jira REST API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REST API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Automatische SP-Synchronisation aus Jira. (Roadmap, nicht Grundbestellung)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KANN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aGov OIDC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OIDC/OAuth2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Single Sign-On via aGov Identity Provider. (Roadmap, nicht Grundbestellung)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KANN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46"/>
        <w:pBdr/>
        <w:spacing w:after="160" w:before="400"/>
        <w:ind/>
        <w:rPr/>
      </w:pPr>
      <w:r/>
      <w:bookmarkStart w:id="34" w:name="_Toc34"/>
      <w:r>
        <w:rPr>
          <w:rFonts w:ascii="Arial" w:hAnsi="Arial" w:eastAsia="Arial" w:cs="Arial"/>
          <w:b/>
          <w:bCs/>
          <w:color w:val="003f7f"/>
          <w:sz w:val="32"/>
          <w:szCs w:val="32"/>
        </w:rPr>
        <w:t xml:space="preserve">8. Buchungstypen und Gesch</w:t>
      </w:r>
      <w:r>
        <w:rPr>
          <w:rFonts w:ascii="Arial" w:hAnsi="Arial" w:eastAsia="Arial" w:cs="Arial"/>
          <w:b/>
          <w:bCs/>
          <w:color w:val="003f7f"/>
          <w:sz w:val="32"/>
          <w:szCs w:val="32"/>
          <w:lang w:val="de-DE"/>
        </w:rPr>
        <w:t xml:space="preserve">ä</w:t>
      </w:r>
      <w:r>
        <w:rPr>
          <w:rFonts w:ascii="Arial" w:hAnsi="Arial" w:eastAsia="Arial" w:cs="Arial"/>
          <w:b/>
          <w:bCs/>
          <w:color w:val="003f7f"/>
          <w:sz w:val="32"/>
          <w:szCs w:val="32"/>
        </w:rPr>
        <w:t xml:space="preserve">ftsregeln</w:t>
      </w:r>
      <w:r/>
      <w:bookmarkEnd w:id="34"/>
      <w:r/>
      <w:r/>
    </w:p>
    <w:p>
      <w:pPr>
        <w:pBdr/>
        <w:spacing w:after="0" w:before="8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35" w:name="_Toc35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8.1 Buchungstypen</w:t>
      </w:r>
      <w:r/>
      <w:bookmarkEnd w:id="35"/>
      <w:r/>
      <w:r/>
    </w:p>
    <w:tbl>
      <w:tblPr>
        <w:tblW w:w="89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2500"/>
        <w:gridCol w:w="1800"/>
        <w:gridCol w:w="266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Bezeichnung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SP-Auswirkung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Kalenderfarbe (Standard)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FERIEN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Ferien / Frei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 SP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Orange (#FB923C)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ABWESEND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Abwesenheit (Sonstiges)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 SP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Dunkelgrau (#6B7280)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TEILZEIT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Teilzeit (halber Tag)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0.5 x spPerDay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Hellgelb (#FDE68A)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MILIT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Milit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rdienst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 SP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Hellgr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 (#84CC16)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IPA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Individuelle Prakt. Arbeit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 SP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Lila (#A78BFA)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BETRIEB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Betriebsdienst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 SP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Hellblau (#60A5FA)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BETRIEB_PIKETT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Betrieb und Pikett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 SP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Violett (#7C3AED)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PIKETT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Pikettdienst (Rufbereitschaft)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 SP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Rosa (#F9A8D4)</w:t>
            </w:r>
            <w:r/>
          </w:p>
        </w:tc>
      </w:tr>
    </w:tbl>
    <w:p>
      <w:pPr>
        <w:pBdr/>
        <w:spacing w:after="0" w:before="160"/>
        <w:ind/>
        <w:rPr/>
      </w:pPr>
      <w:r/>
      <w:r/>
    </w:p>
    <w:p>
      <w:pPr>
        <w:pStyle w:val="747"/>
        <w:pBdr/>
        <w:spacing w:after="120" w:before="280"/>
        <w:ind/>
        <w:rPr/>
      </w:pPr>
      <w:r/>
      <w:bookmarkStart w:id="36" w:name="_Toc36"/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8.2 L</w:t>
      </w:r>
      <w:r>
        <w:rPr>
          <w:rFonts w:ascii="Arial" w:hAnsi="Arial" w:eastAsia="Arial" w:cs="Arial"/>
          <w:b/>
          <w:bCs/>
          <w:color w:val="003f7f"/>
          <w:sz w:val="26"/>
          <w:szCs w:val="26"/>
          <w:lang w:val="de-DE"/>
        </w:rPr>
        <w:t xml:space="preserve">ü</w:t>
      </w:r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ckenerkennung</w:t>
      </w:r>
      <w:r/>
      <w:bookmarkEnd w:id="36"/>
      <w:r/>
      <w:r/>
    </w:p>
    <w:p>
      <w:pPr>
        <w:pStyle w:val="748"/>
        <w:pBdr/>
        <w:spacing w:after="80" w:before="200"/>
        <w:ind/>
        <w:rPr/>
      </w:pPr>
      <w:r/>
      <w:bookmarkStart w:id="37" w:name="_Toc37"/>
      <w:r>
        <w:rPr>
          <w:rFonts w:ascii="Arial" w:hAnsi="Arial" w:eastAsia="Arial" w:cs="Arial"/>
          <w:b/>
          <w:bCs/>
          <w:color w:val="1a1a1a"/>
          <w:sz w:val="24"/>
          <w:szCs w:val="24"/>
        </w:rPr>
        <w:t xml:space="preserve">Betrieb-L</w:t>
      </w:r>
      <w:r>
        <w:rPr>
          <w:rFonts w:ascii="Arial" w:hAnsi="Arial" w:eastAsia="Arial" w:cs="Arial"/>
          <w:b/>
          <w:bCs/>
          <w:color w:val="1a1a1a"/>
          <w:sz w:val="24"/>
          <w:szCs w:val="24"/>
          <w:lang w:val="de-DE"/>
        </w:rPr>
        <w:t xml:space="preserve">ü</w:t>
      </w:r>
      <w:r>
        <w:rPr>
          <w:rFonts w:ascii="Arial" w:hAnsi="Arial" w:eastAsia="Arial" w:cs="Arial"/>
          <w:b/>
          <w:bCs/>
          <w:color w:val="1a1a1a"/>
          <w:sz w:val="24"/>
          <w:szCs w:val="24"/>
        </w:rPr>
        <w:t xml:space="preserve">cke</w:t>
      </w:r>
      <w:r/>
      <w:bookmarkEnd w:id="37"/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Eine Betri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eb-L</w:t>
      </w:r>
      <w:r>
        <w:rPr>
          <w:rFonts w:ascii="Arial" w:hAnsi="Arial" w:eastAsia="Arial" w:cs="Arial"/>
          <w:color w:val="1a1a1a"/>
          <w:sz w:val="22"/>
          <w:szCs w:val="22"/>
          <w:lang w:val="de-DE"/>
        </w:rPr>
        <w:t xml:space="preserve">ü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cke wird gemeldet, wenn an einem Arbeitstag (kein Wochenende, kein gesetzlicher Feiertag) die Anzahl der Mitarbeiter mit Buchungstyp BETRIEB oder BETRIEB_PIKETT in einem Team kleiner ist als die konfigurierte Mindestbesetzung (teamConfig.minBetrieb).</w:t>
      </w:r>
      <w:r/>
    </w:p>
    <w:p>
      <w:pPr>
        <w:pBdr/>
        <w:spacing w:after="0" w:before="80"/>
        <w:ind/>
        <w:rPr/>
      </w:pPr>
      <w:r/>
      <w:r/>
    </w:p>
    <w:p>
      <w:pPr>
        <w:pStyle w:val="748"/>
        <w:pBdr/>
        <w:spacing w:after="80" w:before="200"/>
        <w:ind/>
        <w:rPr/>
      </w:pPr>
      <w:r/>
      <w:bookmarkStart w:id="38" w:name="_Toc38"/>
      <w:r>
        <w:rPr>
          <w:rFonts w:ascii="Arial" w:hAnsi="Arial" w:eastAsia="Arial" w:cs="Arial"/>
          <w:b/>
          <w:bCs/>
          <w:color w:val="1a1a1a"/>
          <w:sz w:val="24"/>
          <w:szCs w:val="24"/>
        </w:rPr>
        <w:t xml:space="preserve">Pikett-L</w:t>
      </w:r>
      <w:r>
        <w:rPr>
          <w:rFonts w:ascii="Arial" w:hAnsi="Arial" w:eastAsia="Arial" w:cs="Arial"/>
          <w:b/>
          <w:bCs/>
          <w:color w:val="1a1a1a"/>
          <w:sz w:val="24"/>
          <w:szCs w:val="24"/>
          <w:lang w:val="de-DE"/>
        </w:rPr>
        <w:t xml:space="preserve">ü</w:t>
      </w:r>
      <w:r>
        <w:rPr>
          <w:rFonts w:ascii="Arial" w:hAnsi="Arial" w:eastAsia="Arial" w:cs="Arial"/>
          <w:b/>
          <w:bCs/>
          <w:color w:val="1a1a1a"/>
          <w:sz w:val="24"/>
          <w:szCs w:val="24"/>
        </w:rPr>
        <w:t xml:space="preserve">cke</w:t>
      </w:r>
      <w:r/>
      <w:bookmarkEnd w:id="38"/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Eine Pikett-L</w:t>
      </w:r>
      <w:r>
        <w:rPr>
          <w:rFonts w:ascii="Arial" w:hAnsi="Arial" w:eastAsia="Arial" w:cs="Arial"/>
          <w:color w:val="1a1a1a"/>
          <w:sz w:val="22"/>
          <w:szCs w:val="22"/>
          <w:lang w:val="de-DE"/>
        </w:rPr>
        <w:t xml:space="preserve">ü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cke wird gemeldet, 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wenn an einem beliebigen Tag innerhalb des PI-Zeitraums (einschliesslich Wochenenden und Feiertagen) die Anzahl der Mitarbeiter mit Buchungstyp PIKETT oder BETRIEB_PIKETT kleiner ist als teamConfig.minPikett. Pikett gilt auch an Wochenenden und Feiertagen.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6"/>
        <w:pBdr/>
        <w:spacing w:after="160" w:before="400"/>
        <w:ind/>
        <w:rPr/>
      </w:pPr>
      <w:r/>
      <w:bookmarkStart w:id="39" w:name="_Toc39"/>
      <w:r>
        <w:rPr>
          <w:rFonts w:ascii="Arial" w:hAnsi="Arial" w:eastAsia="Arial" w:cs="Arial"/>
          <w:b/>
          <w:bCs/>
          <w:color w:val="003f7f"/>
          <w:sz w:val="32"/>
          <w:szCs w:val="32"/>
        </w:rPr>
        <w:t xml:space="preserve">9. Abnahmekriterien</w:t>
      </w:r>
      <w:r/>
      <w:bookmarkEnd w:id="39"/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Die Abnahme erfolgt anhand folgender messbarer Kriterien. Alle MUSS-Kriterien m</w:t>
      </w:r>
      <w:r>
        <w:rPr>
          <w:rFonts w:ascii="Arial" w:hAnsi="Arial" w:eastAsia="Arial" w:cs="Arial"/>
          <w:color w:val="1a1a1a"/>
          <w:sz w:val="22"/>
          <w:szCs w:val="22"/>
          <w:lang w:val="de-DE"/>
        </w:rPr>
        <w:t xml:space="preserve">ü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ssen ohne Abweichung erf</w:t>
      </w:r>
      <w:r>
        <w:rPr>
          <w:rFonts w:ascii="Arial" w:hAnsi="Arial" w:eastAsia="Arial" w:cs="Arial"/>
          <w:color w:val="1a1a1a"/>
          <w:sz w:val="22"/>
          <w:szCs w:val="22"/>
          <w:lang w:val="de-DE"/>
        </w:rPr>
        <w:t xml:space="preserve">ü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llt sein.</w:t>
      </w:r>
      <w:r/>
    </w:p>
    <w:p>
      <w:pPr>
        <w:pBdr/>
        <w:spacing w:after="0" w:before="120"/>
        <w:ind/>
        <w:rPr/>
      </w:pPr>
      <w:r/>
      <w:r/>
    </w:p>
    <w:tbl>
      <w:tblPr>
        <w:tblW w:w="87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4400"/>
        <w:gridCol w:w="2500"/>
        <w:gridCol w:w="96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Kriterium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Messmethode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AK-01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Kapazit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tsplanung fuer ein vollst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ndiges PI in unter 30 Minuten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Zeitnahme durch Testnutzer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AK-02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SP-Berechnung stimmt mit manueller Excel-Rechnung 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berein (0% Abweichung)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Vergleich mit Referenz-Berechnung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AK-03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Pikett-L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cken werden korrekt erkannt und rot markiert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Testfall mit definierter L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cke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AK-04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Betrieb-L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cken werden korrekt erkannt und rot markiert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Testfall mit definierter L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cke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AK-05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Zwei Trains sind vollst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ndig isoliert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Penetrationstest mit 2 Browsersitzungen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AK-06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Backup kann vollst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ndig wiederhergestellt werden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Export + Restore + Vergleich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AK-07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Gleichzeitige Buchungen von 2 Benutzern korrekt synchronisiert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Paralleltest mit 2 Browsern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AK-08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Corporate Design Bund eingehalten (Farben, Schrift, Logo)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Visueller Vergleich CD Bund Manual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AK-09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Admin-Bereich nach 3 Fehlversuchen 60s gesperrt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Testfall Rate-Limiting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AK-10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CSV-Import ohne Datenverlust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Import + Vergleich mit Quelldaten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MUSS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AK-11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Ladezeit &lt; 3 Sekunden (Standard-DSL)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Browser DevTools Network-Messung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SOLL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AK-12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Technische Dokumentation vollst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ndig und aktuell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Review durch Auftraggeber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MUSS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46"/>
        <w:pBdr/>
        <w:spacing w:after="160" w:before="400"/>
        <w:ind/>
        <w:rPr/>
      </w:pPr>
      <w:r/>
      <w:bookmarkStart w:id="40" w:name="_Toc40"/>
      <w:r>
        <w:rPr>
          <w:rFonts w:ascii="Arial" w:hAnsi="Arial" w:eastAsia="Arial" w:cs="Arial"/>
          <w:b/>
          <w:bCs/>
          <w:color w:val="003f7f"/>
          <w:sz w:val="32"/>
          <w:szCs w:val="32"/>
        </w:rPr>
        <w:t xml:space="preserve">10. Roadmap - Optionale Erweiterungen</w:t>
      </w:r>
      <w:r/>
      <w:bookmarkEnd w:id="40"/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1a"/>
          <w:sz w:val="22"/>
          <w:szCs w:val="22"/>
        </w:rPr>
        <w:t xml:space="preserve">Die folgenden Funktionen sind nicht Bestandteil der Grundbestellung, sollen aber bei der Systemarchitektur ber</w:t>
      </w:r>
      <w:r>
        <w:rPr>
          <w:rFonts w:ascii="Arial" w:hAnsi="Arial" w:eastAsia="Arial" w:cs="Arial"/>
          <w:color w:val="1a1a1a"/>
          <w:sz w:val="22"/>
          <w:szCs w:val="22"/>
          <w:lang w:val="de-DE"/>
        </w:rPr>
        <w:t xml:space="preserve">ü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cksichtigt werden.</w:t>
      </w:r>
      <w:r/>
    </w:p>
    <w:p>
      <w:pPr>
        <w:pBdr/>
        <w:spacing w:after="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500"/>
        <w:gridCol w:w="596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Feature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R-01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TOTP 2FA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Zwei-Faktor-Authentifizierung via Google/Microsoft Authenticator (TOTP, RFC 6238)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R-02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aGov OIDC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Single Sign-On via aGov Identity Provider der Bundesverwaltung (OpenID Connect)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R-03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Jira REST API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Automatische SP-Synchronisation aus Jira (ersetzt manuelle Eingabe durch PO)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R-04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Mobile-Optimierung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Responsive Design f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 mobile Geraete (min. 375px), Touch-Drag-Buchung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R-05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Audit-Log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Protokollierung aller Admin-Aktionen mit Zeitstempel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R-06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Rollen und Berechtigungen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Admin (voller Zugriff), Planer (Buchungen + Konfiguration), Read-Only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R-07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Custom Allocation Types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Konfigurierbare Buchungstypen mit eigenen Farben und SP-Gewichtungen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46"/>
        <w:pBdr/>
        <w:spacing w:after="160" w:before="400"/>
        <w:ind/>
        <w:rPr/>
      </w:pPr>
      <w:r/>
      <w:bookmarkStart w:id="41" w:name="_Toc41"/>
      <w:r>
        <w:rPr>
          <w:rFonts w:ascii="Arial" w:hAnsi="Arial" w:eastAsia="Arial" w:cs="Arial"/>
          <w:b/>
          <w:bCs/>
          <w:color w:val="003f7f"/>
          <w:sz w:val="32"/>
          <w:szCs w:val="32"/>
        </w:rPr>
        <w:t xml:space="preserve">11. Anhang: Glossar</w:t>
      </w:r>
      <w:r/>
      <w:bookmarkEnd w:id="41"/>
      <w:r/>
      <w:r/>
    </w:p>
    <w:p>
      <w:pPr>
        <w:pBdr/>
        <w:spacing w:after="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>
          <w:tblHeader/>
        </w:trPr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Begriff</w:t>
            </w:r>
            <w:r/>
          </w:p>
        </w:tc>
        <w:tc>
          <w:tcPr>
            <w:shd w:val="clear" w:color="auto" w:fill="003f7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ART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Agile Release Train - Organisationseinheit im SAFe-Framework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BIT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Bundesamt f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 Informatik und Telekommunikation - IT-Dienstleister der Bundesverwaltung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Betrieb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Betriebsdienst - Mitarbeiter f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 operativen IT-Betrieb, nicht f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 Entwicklung verf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gbar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FTE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Full-Time Equivalent - Besch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ftigungsgrad (1.0 = 100%, 0.8 = 80%)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IPA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Individuelle Praktische Arbeit - Abschlussarbeit in der Berufsausbildung (Schweiz)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Iteration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Sprint - Zeitbox von ca. 2 Wochen innerhalb eines PI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Kapazit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tsprozent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Anteil der Arbeitszeit verf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gbar fuer Entwicklungsaufgaben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Pikett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Rufbereitschaft - erreichbar ausserhalb Arbeitszeit bei St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ö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rungen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PI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Program Increment - SAFe-Planungszyklus, typisch 8-12 Wochen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PI Planning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SAFe PI Planning Event - mehrt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ä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gige Planungsveranstaltung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SAFe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Scaled Agile Framework - Framework f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 skaliertes agiles Vorgehen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SP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Story Points - relatives Mass f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de-DE"/>
              </w:rPr>
              <w:t xml:space="preserve">ü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 Entwicklungsaufwand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Swiss DS</w:t>
            </w:r>
            <w:r/>
          </w:p>
        </w:tc>
        <w:tc>
          <w:tcPr>
            <w:shd w:val="clear" w:color="auto" w:fill="ffffff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Swiss Design System - offizielles Design System der Bundesverwaltung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Train</w:t>
            </w:r>
            <w:r/>
          </w:p>
        </w:tc>
        <w:tc>
          <w:tcPr>
            <w:shd w:val="clear" w:color="auto" w:fill="f5f5f5"/>
            <w:tcBorders>
              <w:top w:val="single" w:color="d5d5d5" w:sz="1" w:space="0"/>
              <w:left w:val="single" w:color="d5d5d5" w:sz="1" w:space="0"/>
              <w:bottom w:val="single" w:color="d5d5d5" w:sz="1" w:space="0"/>
              <w:right w:val="single" w:color="d5d5d5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Im Kontext dieser Anwendung: ein Mandant = ein Agile Release Train</w:t>
            </w:r>
            <w:r/>
          </w:p>
        </w:tc>
      </w:tr>
    </w:tbl>
    <w:p>
      <w:pPr>
        <w:pBdr/>
        <w:spacing w:after="0" w:before="400"/>
        <w:ind/>
        <w:rPr/>
      </w:pPr>
      <w:r/>
      <w:r/>
    </w:p>
    <w:p>
      <w:pPr>
        <w:pBdr>
          <w:bottom w:val="single" w:color="003f7f" w:sz="4" w:space="1"/>
        </w:pBdr>
        <w:spacing w:after="160" w:before="160"/>
        <w:ind/>
        <w:rPr/>
      </w:pPr>
      <w:r/>
      <w:r/>
    </w:p>
    <w:p>
      <w:pPr>
        <w:pBdr/>
        <w:spacing w:before="200"/>
        <w:ind/>
        <w:jc w:val="center"/>
        <w:rPr/>
      </w:pPr>
      <w:r>
        <w:rPr>
          <w:rFonts w:ascii="Arial" w:hAnsi="Arial" w:eastAsia="Arial" w:cs="Arial"/>
          <w:color w:val="999999"/>
          <w:sz w:val="18"/>
          <w:szCs w:val="18"/>
        </w:rPr>
        <w:t xml:space="preserve">Bundesamt f</w:t>
      </w:r>
      <w:r>
        <w:rPr>
          <w:rFonts w:ascii="Arial" w:hAnsi="Arial" w:eastAsia="Arial" w:cs="Arial"/>
          <w:color w:val="999999"/>
          <w:sz w:val="18"/>
          <w:szCs w:val="18"/>
          <w:lang w:val="de-DE"/>
        </w:rPr>
        <w:t xml:space="preserve">ü</w:t>
      </w:r>
      <w:r>
        <w:rPr>
          <w:rFonts w:ascii="Arial" w:hAnsi="Arial" w:eastAsia="Arial" w:cs="Arial"/>
          <w:color w:val="999999"/>
          <w:sz w:val="18"/>
          <w:szCs w:val="18"/>
        </w:rPr>
        <w:t xml:space="preserve">r Informatik und Telekommunikation (BIT) - Internes Dokument</w:t>
      </w:r>
      <w:r/>
    </w:p>
    <w:p>
      <w:pPr>
        <w:pBdr/>
        <w:spacing w:before="60"/>
        <w:ind/>
        <w:jc w:val="center"/>
        <w:rPr/>
      </w:pPr>
      <w:r>
        <w:rPr>
          <w:rFonts w:ascii="Arial" w:hAnsi="Arial" w:eastAsia="Arial" w:cs="Arial"/>
          <w:color w:val="999999"/>
          <w:sz w:val="18"/>
          <w:szCs w:val="18"/>
        </w:rPr>
        <w:t xml:space="preserve">Lastenheft SAFe PI Capacity Planner - Version 1.0 - April 2026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200" w:right="1200" w:bottom="1200" w:left="18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003f7f" w:sz="4" w:space="4"/>
      </w:pBdr>
      <w:spacing w:before="80"/>
      <w:ind/>
      <w:jc w:val="right"/>
      <w:rPr/>
    </w:pPr>
    <w:r>
      <w:rPr>
        <w:rFonts w:ascii="Arial" w:hAnsi="Arial" w:eastAsia="Arial" w:cs="Arial"/>
        <w:color w:val="777777"/>
        <w:sz w:val="18"/>
        <w:szCs w:val="18"/>
      </w:rPr>
      <w:t xml:space="preserve">Seite </w:t>
    </w:r>
    <w:r>
      <w:rPr>
        <w:rFonts w:ascii="Arial" w:hAnsi="Arial" w:eastAsia="Arial" w:cs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 w:cs="Arial"/>
        <w:color w:val="777777"/>
        <w:sz w:val="18"/>
        <w:szCs w:val="18"/>
      </w:rPr>
      <w:t xml:space="preserve"> von </w:t>
    </w:r>
    <w:r>
      <w:rPr>
        <w:rFonts w:ascii="Arial" w:hAnsi="Arial" w:eastAsia="Arial" w:cs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003f7f" w:sz="4" w:space="4"/>
      </w:pBdr>
      <w:spacing w:after="80"/>
      <w:ind/>
      <w:jc w:val="right"/>
      <w:rPr/>
    </w:pPr>
    <w:r>
      <w:rPr>
        <w:rFonts w:ascii="Arial" w:hAnsi="Arial" w:eastAsia="Arial" w:cs="Arial"/>
        <w:color w:val="777777"/>
        <w:sz w:val="18"/>
        <w:szCs w:val="18"/>
      </w:rPr>
      <w:t xml:space="preserve">Lastenheft SAFe PI Capacity Planner  |  BIT  |  April 2026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color w:val="1a1a1a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30">
    <w:name w:val="Title"/>
    <w:qFormat/>
    <w:pPr>
      <w:pBdr/>
      <w:spacing/>
      <w:ind/>
    </w:pPr>
    <w:rPr>
      <w:sz w:val="56"/>
      <w:szCs w:val="56"/>
    </w:rPr>
  </w:style>
  <w:style w:type="paragraph" w:styleId="734">
    <w:name w:val="Heading 4"/>
    <w:qFormat/>
    <w:pPr>
      <w:pBdr/>
      <w:spacing/>
      <w:ind/>
    </w:pPr>
    <w:rPr>
      <w:i/>
      <w:iCs/>
      <w:color w:val="2e74b5"/>
    </w:rPr>
  </w:style>
  <w:style w:type="paragraph" w:styleId="735">
    <w:name w:val="Heading 5"/>
    <w:qFormat/>
    <w:pPr>
      <w:pBdr/>
      <w:spacing/>
      <w:ind/>
    </w:pPr>
    <w:rPr>
      <w:color w:val="2e74b5"/>
    </w:rPr>
  </w:style>
  <w:style w:type="paragraph" w:styleId="736">
    <w:name w:val="Heading 6"/>
    <w:qFormat/>
    <w:pPr>
      <w:pBdr/>
      <w:spacing/>
      <w:ind/>
    </w:pPr>
    <w:rPr>
      <w:color w:val="1f4d78"/>
    </w:rPr>
  </w:style>
  <w:style w:type="paragraph" w:styleId="737">
    <w:name w:val="Strong"/>
    <w:qFormat/>
    <w:pPr>
      <w:pBdr/>
      <w:spacing/>
      <w:ind/>
    </w:pPr>
    <w:rPr>
      <w:b/>
      <w:bCs/>
    </w:rPr>
  </w:style>
  <w:style w:type="paragraph" w:styleId="738">
    <w:name w:val="List Paragraph"/>
    <w:qFormat/>
    <w:pPr>
      <w:pBdr/>
      <w:spacing/>
      <w:ind/>
    </w:pPr>
  </w:style>
  <w:style w:type="character" w:styleId="739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0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1">
    <w:name w:val="footnote text"/>
    <w:link w:val="7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2">
    <w:name w:val="Footnote Text Char"/>
    <w:link w:val="74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3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4">
    <w:name w:val="endnote text"/>
    <w:link w:val="7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5">
    <w:name w:val="Endnote Text Char"/>
    <w:link w:val="744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6">
    <w:name w:val="Heading 1"/>
    <w:qFormat/>
    <w:pPr>
      <w:pBdr/>
      <w:spacing w:after="160" w:before="400"/>
      <w:ind/>
      <w:outlineLvl w:val="0"/>
    </w:pPr>
    <w:rPr>
      <w:rFonts w:ascii="Arial" w:hAnsi="Arial" w:eastAsia="Arial" w:cs="Arial"/>
      <w:b/>
      <w:bCs/>
      <w:color w:val="003f7f"/>
      <w:sz w:val="32"/>
      <w:szCs w:val="32"/>
    </w:rPr>
  </w:style>
  <w:style w:type="paragraph" w:styleId="747">
    <w:name w:val="Heading 2"/>
    <w:qFormat/>
    <w:pPr>
      <w:pBdr/>
      <w:spacing w:after="120" w:before="280"/>
      <w:ind/>
      <w:outlineLvl w:val="1"/>
    </w:pPr>
    <w:rPr>
      <w:rFonts w:ascii="Arial" w:hAnsi="Arial" w:eastAsia="Arial" w:cs="Arial"/>
      <w:b/>
      <w:bCs/>
      <w:color w:val="003f7f"/>
      <w:sz w:val="26"/>
      <w:szCs w:val="26"/>
    </w:rPr>
  </w:style>
  <w:style w:type="paragraph" w:styleId="748">
    <w:name w:val="Heading 3"/>
    <w:qFormat/>
    <w:pPr>
      <w:pBdr/>
      <w:spacing w:after="80" w:before="200"/>
      <w:ind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2026-04-23T16:32:43Z</dcterms:created>
  <dcterms:modified xsi:type="dcterms:W3CDTF">2026-04-23T17:26:37Z</dcterms:modified>
</cp:coreProperties>
</file>