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03f7f"/>
            <w:tcMar>
              <w:left w:w="300" w:type="dxa"/>
              <w:top w:w="200" w:type="dxa"/>
              <w:right w:w="300" w:type="dxa"/>
              <w:bottom w:w="20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44"/>
                <w:szCs w:val="44"/>
              </w:rPr>
              <w:t xml:space="preserve">SAFe PI Capacity Planner</w:t>
            </w:r>
          </w:p>
          <w:p>
            <w:pPr>
              <w:spacing w:before="60"/>
              <w:jc w:val="left"/>
            </w:pPr>
            <w:r>
              <w:rPr>
                <w:rFonts w:ascii="Arial" w:hAnsi="Arial" w:eastAsia="Arial" w:cs="Arial"/>
                <w:color w:val="bdd7ee"/>
                <w:sz w:val="24"/>
                <w:szCs w:val="24"/>
              </w:rPr>
              <w:t xml:space="preserve">Produktdarstellung — BIT / PS-NET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spacing w:after="140" w:before="14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Zielgruppe: 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Release Train Engineers (RTE) und Business Owners (BO) bei BIT / PS-NET  |  </w:t>
      </w:r>
      <w:r>
        <w:rPr>
          <w:rFonts w:ascii="Arial" w:hAnsi="Arial" w:eastAsia="Arial" w:cs="Arial"/>
          <w:color w:val="1a1a1a"/>
          <w:sz w:val="21"/>
          <w:szCs w:val="21"/>
        </w:rPr>
        <w:t xml:space="preserve">Stand: April 2026  |  Status: </w:t>
      </w:r>
      <w:r>
        <w:rPr>
          <w:rFonts w:ascii="Arial" w:hAnsi="Arial" w:eastAsia="Arial" w:cs="Arial"/>
          <w:b/>
          <w:bCs/>
          <w:color w:val="1f6b38"/>
          <w:sz w:val="21"/>
          <w:szCs w:val="21"/>
        </w:rPr>
        <w:t xml:space="preserve">Live deployed auf Vercel</w:t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Problem — Lösung — Nutzen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w="30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63312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⚠ Problem</w:t>
            </w:r>
          </w:p>
        </w:tc>
        <w:tc>
          <w:tcPr>
            <w:tcW w:w="30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03f7f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✓ Lösung</w:t>
            </w:r>
          </w:p>
        </w:tc>
        <w:tc>
          <w:tcPr>
            <w:tcW w:w="30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6b38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★ Nutzen</w:t>
            </w:r>
          </w:p>
        </w:tc>
      </w:tr>
      <w:tr>
        <w:tc>
          <w:tcPr>
            <w:tcW w:w="3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ef0ef"/>
            <w:tcMar>
              <w:left w:w="160" w:type="dxa"/>
              <w:top w:w="140" w:type="dxa"/>
              <w:right w:w="160" w:type="dxa"/>
              <w:bottom w:w="140" w:type="dxa"/>
            </w:tcMar>
            <w:vAlign w:val="top"/>
          </w:tcPr>
          <w:p>
            <w:pPr>
              <w:spacing w:after="80" w:before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Vor jedem PI Planning baut jeder RTE seine eigene Excel-Tabelle von Grund auf neu — ohne Formeln, ohne Auswertungen, ohne Pikett- und Betriebskontrolle.</w:t>
            </w:r>
          </w:p>
          <w:p>
            <w:pPr>
              <w:spacing w:after="80" w:before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Das kostet jeden RTE effektiv mehrere Tage pro PI. Bei 4 PIs/Jahr und mehreren Trains summiert sich das zu erheblichem, vollständig vermeidbarem Aufwand.</w:t>
            </w:r>
          </w:p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Jeder löst dasselbe Problem anders. Wissen geht verloren. Fehler bleiben unentdeckt bis das PI läuft.</w:t>
            </w:r>
          </w:p>
        </w:tc>
        <w:tc>
          <w:tcPr>
            <w:tcW w:w="3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5"/>
            <w:tcMar>
              <w:left w:w="160" w:type="dxa"/>
              <w:top w:w="140" w:type="dxa"/>
              <w:right w:w="160" w:type="dxa"/>
              <w:bottom w:w="140" w:type="dxa"/>
            </w:tcMar>
            <w:vAlign w:val="top"/>
          </w:tcPr>
          <w:p>
            <w:pPr>
              <w:spacing w:after="80" w:before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Der SAFe PI Capacity Planner ist der gemeinsame Standard für alle Trains bei BIT.</w:t>
            </w:r>
          </w:p>
          <w:p>
            <w:pPr>
              <w:spacing w:after="80" w:before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Mitarbeiterstamm, Feiertage und PI-Struktur einmal erfassen — jedes neue PI in Minuten bereit.</w:t>
            </w:r>
          </w:p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Absenzen per Drag-and-Drop. Story Points automatisch berechnet. Mehrere Planer arbeiten gleichzeitig.</w:t>
            </w:r>
          </w:p>
        </w:tc>
        <w:tc>
          <w:tcPr>
            <w:tcW w:w="3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5ee"/>
            <w:tcMar>
              <w:left w:w="160" w:type="dxa"/>
              <w:top w:w="140" w:type="dxa"/>
              <w:right w:w="160" w:type="dxa"/>
              <w:bottom w:w="140" w:type="dxa"/>
            </w:tcMar>
            <w:vAlign w:val="top"/>
          </w:tcPr>
          <w:p>
            <w:pPr>
              <w:spacing w:after="80" w:before="6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RTEs sparen mehrere Tage Vorbereitungsaufwand pro PI — bestätigt durch effektive Messung.</w:t>
            </w:r>
          </w:p>
          <w:p>
            <w:pPr>
              <w:spacing w:after="80" w:before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Business Owners sehen sofort: Wo sind Risiken? Pikett-Lücken und Unterbesetzungen werden rot markiert — bevor das PI beginnt.</w:t>
            </w:r>
          </w:p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 xml:space="preserve">Ein Standard für alle Trains. Kein Wissens-Silo. Keine Insellösungen.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Minimum Viable Product (MVP)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03f7f"/>
            <w:tcMar>
              <w:left w:w="200" w:type="dxa"/>
              <w:top w:w="100" w:type="dxa"/>
              <w:right w:w="200" w:type="dxa"/>
              <w:bottom w:w="10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MVP — Phase 1 (Features 01–13)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5"/>
            <w:tcMar>
              <w:left w:w="200" w:type="dxa"/>
              <w:top w:w="120" w:type="dxa"/>
              <w:right w:w="200" w:type="dxa"/>
              <w:bottom w:w="120" w:type="dxa"/>
            </w:tcMar>
          </w:tcPr>
          <w:p>
            <w:pPr>
              <w:spacing w:after="100" w:before="0"/>
            </w:pP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 xml:space="preserve">Das MVP umfasst alle Kernfunktionen für einen vollständigen PI-Planning-Zyklus:</w:t>
            </w:r>
          </w:p>
          <w:p>
            <w:pPr>
              <w:spacing w:after="100" w:before="0"/>
            </w:pPr>
            <w:r>
              <w:rPr>
                <w:rFonts w:ascii="Arial" w:hAnsi="Arial" w:eastAsia="Arial" w:cs="Arial"/>
                <w:b/>
                <w:bCs/>
                <w:color w:val="1a1a1a"/>
                <w:sz w:val="21"/>
                <w:szCs w:val="21"/>
              </w:rPr>
              <w:t xml:space="preserve">Mitarbeiterstamm + PI-Struktur + Kalender-Daten verwalten  →  Drag-Buchung im Kalender  →  Automatische SP-Berechnung  →  Filter  →  Dashboard mit Lücken-Erkennung  →  Backup/Restore  →  PDF/PNG-Export  →  Corporate Design Bund</w:t>
            </w:r>
          </w:p>
          <w:p>
            <w:pPr>
              <w:spacing w:after="60" w:before="60"/>
            </w:pPr>
            <w:r>
              <w:rPr>
                <w:rFonts w:ascii="Arial" w:hAnsi="Arial" w:eastAsia="Arial" w:cs="Arial"/>
                <w:b/>
                <w:bCs/>
                <w:color w:val="1a1a1a"/>
                <w:sz w:val="21"/>
                <w:szCs w:val="21"/>
              </w:rPr>
              <w:t xml:space="preserve">Erfolgskriterien (alle erfüllt ✅):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Kapazitätsplanung für ein vollständiges PI in unter 30 Minuten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SP-Berechnung stimmt mit manueller Excel-Rechnung überein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Pikett-Lücken werden im Dashboard rot markiert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Backup lässt sich vollständig wiederherstellen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Corporate Design Bund eingehalten (Farben, Schrift, Logo)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Funktionale Anforderungen</w:t>
      </w:r>
    </w:p>
    <w:p>
      <w:pPr>
        <w:spacing w:after="100" w:before="240"/>
      </w:pPr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Stammdaten &amp; Konfiguration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Stammdaten &amp; Konfiguration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FA-01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Mitarbeiterstamm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CRUD + CSV-Import; Validierung FTE, betrieb/pauschale ≤ kapazität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FA-02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PI-Planung &amp; Iterationen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CRUD + CSV; Iterationen pro PI konfigurierbar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FA-03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Kalender-Daten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Feiertage (CH), Schulferien, Blocker — CRUD + CSV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FA-08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Team-Konfiguration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minPikett / minBetrieb pro Team; spPerDay + hoursPerYear global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FA-09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Team (Multi-Select), PI, Iteration, Jahr, Zeitraum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spacing w:after="100" w:before="240"/>
      </w:pPr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Kapazitätserfassung &amp; Berechnung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6b38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Kapazitätserfassung &amp; Berechnung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FA-04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Drag-Buchung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8 Buchungstypen (F/A/T/M/I/B/BP/P) per Drag über Kalenderraster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FA-05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SP-Berechnung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Arbeitstage × spPerDay × FTE × (1 − betrieb% − pauschale%); Teilzeit = 0.5×; WE/Feiertage = 0 SP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FA-06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Lücken-Erkennung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Pikett: 7×24 inkl. WE/Feiertage; Betrieb: nur Arbeitstage — rot markiert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spacing w:after="100" w:before="240"/>
      </w:pPr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Dashboard &amp; Export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63312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Dashboard &amp; Export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FA-06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KPI-Karten, Balkendiagramm SP/Team/Iteration, Absenz-Tabelle, Lücken-Übersicht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FA-07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PI Dashboard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Jira-SP vs. App-SP pro PI/Team/Iteration — Delta mit Farbcodierung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FA-13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Backup/Restore (JSON, versioniert), PDF/PNG mit Bundeslogo, .docx-Dokumentation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spacing w:after="100" w:before="240"/>
      </w:pPr>
      <w:r>
        <w:rPr>
          <w:rFonts w:ascii="Arial" w:hAnsi="Arial" w:eastAsia="Arial" w:cs="Arial"/>
          <w:b/>
          <w:bCs/>
          <w:color w:val="003f7f"/>
          <w:sz w:val="26"/>
          <w:szCs w:val="26"/>
        </w:rPr>
        <w:t xml:space="preserve">Multiuser &amp; Mandatenfähigkeit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5b4a9c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Multiuser &amp; Mandatenfähigkeit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FA-10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Multiuser / Echtzeit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Socket.io State-Sync, Row-Locking, Verbindungsindikator — mehrere Planer gleichzeitig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FA-11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Multi-Tenant (Trains)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State-Isolation pro Train (eigene JSON-Datei), TenantGate, Socket.io-Room-Isolation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FA-12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Admin-Bereich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Code-Schutz (6-stellig), Rate-Limiting, Tenant-CRUD, Daten-Reset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Nicht-Funktionale Anforderungen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78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444444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Nicht-Funktionale Anforderungen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Anforderung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8e8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NFA-01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Corporate Design Bund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Bundesblau #003F7F, Bundesrot #E63312, NotoSans (selbst-gehostet, kein CDN), Bundeslogo SVG — Swiss DS Architektur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NFA-02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Frontend: Vercel (Auto-Deploy via GitHub master); Backend: Railway (Node.js + Socket.io)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NFA-03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Datenhaltung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JSON-Datei-Persistenz (kein SQL, kein ORM); akzeptiertes Race-Condition-Risiko für &lt; 10 gleichzeitige User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NFA-04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Datenschutz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Keine externen Fonts/CDN; keine Drittdienste ausser Vercel/Railway; kein SSO (Roadmap)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NFA-05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Typsicherheit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Kein any in TypeScript; alle Interfaces in types.ts; keine Inline-Styles ausser dynamischen Hex-Farben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NFA-06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Testbarkeit (offen)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SP-Berechnungen als pure functions angelegt — Unit-Test-Coverage ausstehend (Risiko vor Feature 22)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NFA-07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Skalierbarkeit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Zielgrösse: 4 Teams, &lt; 50 Mitarbeiter, &lt; 10 gleichzeitige User — bewusst minimal, kein Redis/DB-Cluster</w:t>
            </w:r>
          </w:p>
        </w:tc>
      </w:tr>
      <w:t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NFA-08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Interne Entwicklung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00" w:type="dxa"/>
              <w:top w:w="60" w:type="dxa"/>
              <w:right w:w="10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Eigenentwicklung BIT — kein Budget für Lizenzkauf; kein SAP, kein AD-Sync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</w:r>
    </w:p>
    <w:p>
      <w:pPr>
        <w:pBdr>
          <w:bottom w:val="single" w:color="003f7f" w:sz="6" w:space="1"/>
        </w:pBdr>
        <w:spacing w:after="160" w:before="320"/>
      </w:pPr>
      <w:r>
        <w:rPr>
          <w:rFonts w:ascii="Arial" w:hAnsi="Arial" w:eastAsia="Arial" w:cs="Arial"/>
          <w:b/>
          <w:bCs/>
          <w:color w:val="003f7f"/>
          <w:sz w:val="32"/>
          <w:szCs w:val="32"/>
        </w:rPr>
        <w:t xml:space="preserve">Roadmap (nach Pilotbetrieb)</w:t>
      </w:r>
    </w:p>
    <w:tbl>
      <w:tblPr>
        <w:tblW w:w="91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80"/>
        <w:gridCol w:w="4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03f7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F-22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Custom Allocation Types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Individuelle Buchungstypen pro Team mit Kategorie-Zuordnung (in Implementierung)</w:t>
            </w:r>
          </w:p>
        </w:tc>
      </w:tr>
      <w:t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F-24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TOTP 2FA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Google/MS Authenticator Integration</w:t>
            </w:r>
          </w:p>
        </w:tc>
      </w:tr>
      <w:t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F-25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aGov OIDC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SSO-Integration Bundesverwaltung</w:t>
            </w:r>
          </w:p>
        </w:tc>
      </w:tr>
      <w:t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F-26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Jira REST API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Ersetzt manuelle SP-Eingabe; direkter Abgleich mit Jira-Projekten</w:t>
            </w:r>
          </w:p>
        </w:tc>
      </w:tr>
      <w:t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F-27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Mobile-Optimierung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Responsive Layout für Smartphone/Tablet</w:t>
            </w:r>
          </w:p>
        </w:tc>
      </w:tr>
      <w:t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F-28/29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Audit-Log &amp; Rollen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left w:w="120" w:type="dxa"/>
              <w:top w:w="60" w:type="dxa"/>
              <w:right w:w="120" w:type="dxa"/>
              <w:bottom w:w="6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 xml:space="preserve">Admin-Aktionen protokollieren; Admin / Planer / Read-Only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</w:r>
    </w:p>
    <w:p>
      <w:pPr>
        <w:pBdr>
          <w:top w:val="single" w:color="003f7f" w:sz="4" w:space="1"/>
        </w:pBdr>
        <w:spacing w:before="20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 xml:space="preserve">SAFe PI Capacity Planner  |  BIT – Bundesamt für Informatik und Telekommunikation  |  </w:t>
      </w:r>
      <w:r>
        <w:rPr>
          <w:rFonts w:ascii="Arial" w:hAnsi="Arial" w:eastAsia="Arial" w:cs="Arial"/>
          <w:color w:val="003f7f"/>
          <w:sz w:val="18"/>
          <w:szCs w:val="18"/>
        </w:rPr>
        <w:t xml:space="preserve">https://safe-pi-capacity-planner.vercel.app</w:t>
      </w:r>
    </w:p>
    <w:sectPr>
      <w:pgSz w:h="16838" w:orient="portrait" w:w="11906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•"/>
      <w:numFmt w:val="bullet"/>
      <w:pPr>
        <w:ind w:hanging="280" w:left="560"/>
      </w:pPr>
      <w:start w:val="1"/>
    </w:lvl>
  </w:abstractNum>
  <w:abstractNum w:abstractNumId="3">
    <w:multiLevelType w:val="hybridMultilevel"/>
    <w:lvl w:ilvl="0">
      <w:lvlJc w:val="left"/>
      <w:lvlText w:val="✓"/>
      <w:numFmt w:val="bullet"/>
      <w:pPr>
        <w:ind w:hanging="280" w:left="560"/>
      </w:pPr>
      <w:start w:val="1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color w:val="1a1a1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2026-04-23T10:51:13.049Z</dcterms:created>
  <dcterms:modified xsi:type="dcterms:W3CDTF">2026-04-23T10:51:13.050Z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