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200" w:before="2000"/>
      </w:pPr>
      <w:r>
        <w:rPr>
          <w:rFonts w:ascii="Arial" w:hAnsi="Arial" w:eastAsia="Arial" w:cs="Arial"/>
          <w:b/>
          <w:bCs/>
          <w:caps/>
          <w:color w:val="003f7f"/>
          <w:sz w:val="16"/>
          <w:szCs w:val="16"/>
        </w:rPr>
        <w:t xml:space="preserve">BUNDESAMT FÜR INFORMATIK UND TELEKOMMUNIKATION (BIT)</w:t>
      </w:r>
    </w:p>
    <w:p>
      <w:pPr>
        <w:spacing w:after="100"/>
      </w:pPr>
      <w:r>
        <w:rPr>
          <w:rFonts w:ascii="Arial" w:hAnsi="Arial" w:eastAsia="Arial" w:cs="Arial"/>
          <w:b/>
          <w:bCs/>
          <w:color w:val="003f7f"/>
          <w:sz w:val="72"/>
          <w:szCs w:val="72"/>
        </w:rPr>
        <w:t xml:space="preserve">LASTENHEFT</w:t>
      </w:r>
    </w:p>
    <w:p>
      <w:pPr>
        <w:spacing w:after="100"/>
      </w:pPr>
      <w:r>
        <w:rPr>
          <w:rFonts w:ascii="Arial" w:hAnsi="Arial" w:eastAsia="Arial" w:cs="Arial"/>
          <w:color w:val="1a1a1a"/>
          <w:sz w:val="40"/>
          <w:szCs w:val="40"/>
        </w:rPr>
        <w:t xml:space="preserve">SAFe PI Capacity Planner</w:t>
      </w:r>
    </w:p>
    <w:p>
      <w:pPr>
        <w:pBdr>
          <w:bottom w:val="single" w:color="e63312" w:sz="16"/>
        </w:pBdr>
        <w:spacing w:after="400"/>
      </w:pPr>
      <w:r>
        <w:rPr>
          <w:rFonts w:ascii="Arial" w:hAnsi="Arial" w:eastAsia="Arial" w:cs="Arial"/>
          <w:color w:val="555555"/>
          <w:sz w:val="24"/>
          <w:szCs w:val="24"/>
        </w:rPr>
        <w:t xml:space="preserve">Anforderungsspezifikation für Neuentwicklung – Version 2.0</w:t>
      </w:r>
    </w:p>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Auftraggeber</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Bundesamt für Informatik und Telekommunikation (BIT)</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Abteilung</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IT-Delivery / SAFe Agile Release Train</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Dokumenttyp</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Lastenheft (Anforderungsspezifikation)</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Version</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2.0</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Datum</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April 2026</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Status</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Freigegeben zur Ausschreibung</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Vertraulichkeit</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Intern – nicht für Dritte bestimmt</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Änderungen zu v1.0</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Neu: Architektur-Übersicht, ADRs, vollständige API-Spezifikation, Deployment-Environments, erweitertes Sicherheitskonzept</w:t>
            </w:r>
          </w:p>
        </w:tc>
      </w:tr>
    </w:tbl>
    <w:p/>
    <w:p/>
    <w:p/>
    <w:p/>
    <w:p>
      <w:r>
        <w:rPr>
          <w:rFonts w:ascii="Arial" w:hAnsi="Arial" w:eastAsia="Arial" w:cs="Arial"/>
          <w:color w:val="888888"/>
          <w:sz w:val="18"/>
          <w:szCs w:val="18"/>
        </w:rPr>
        <w:t xml:space="preserve">Bundesamt für Informatik und Telekommunikation (BIT)</w:t>
      </w:r>
    </w:p>
    <w:p>
      <w:r>
        <w:rPr>
          <w:rFonts w:ascii="Arial" w:hAnsi="Arial" w:eastAsia="Arial" w:cs="Arial"/>
          <w:color w:val="888888"/>
          <w:sz w:val="18"/>
          <w:szCs w:val="18"/>
        </w:rPr>
        <w:t xml:space="preserve">Monbijoustrasse 74 · 3003 Bern · Schweiz</w:t>
      </w:r>
    </w:p>
    <w:p>
      <w:r>
        <w:rPr>
          <w:rFonts w:ascii="Arial" w:hAnsi="Arial" w:eastAsia="Arial" w:cs="Arial"/>
          <w:color w:val="888888"/>
          <w:sz w:val="18"/>
          <w:szCs w:val="18"/>
        </w:rPr>
        <w:t xml:space="preserve">Schweizerische Eidgenossenschaft</w:t>
      </w:r>
    </w:p>
    <w:p>
      <w:pPr>
        <w:pStyle w:val="Heading1"/>
        <w:pageBreakBefore w:val="true"/>
      </w:pPr>
      <w:r>
        <w:rPr>
          <w:rFonts w:ascii="Arial" w:hAnsi="Arial" w:eastAsia="Arial" w:cs="Arial"/>
          <w:b/>
          <w:bCs/>
          <w:color w:val="003f7f"/>
          <w:sz w:val="40"/>
          <w:szCs w:val="40"/>
        </w:rPr>
        <w:t xml:space="preserve">1. Einleitung</w:t>
      </w:r>
    </w:p>
    <w:p>
      <w:pPr>
        <w:pStyle w:val="Heading2"/>
      </w:pPr>
      <w:r>
        <w:rPr>
          <w:rFonts w:ascii="Arial" w:hAnsi="Arial" w:eastAsia="Arial" w:cs="Arial"/>
          <w:b/>
          <w:bCs/>
          <w:color w:val="003f7f"/>
          <w:sz w:val="28"/>
          <w:szCs w:val="28"/>
        </w:rPr>
        <w:t xml:space="preserve">1.1 Zweck des Dokuments</w:t>
      </w:r>
    </w:p>
    <w:p>
      <w:pPr>
        <w:spacing w:after="100"/>
      </w:pPr>
      <w:r>
        <w:rPr>
          <w:rFonts w:ascii="Arial" w:hAnsi="Arial" w:eastAsia="Arial" w:cs="Arial"/>
          <w:color w:val="1a1a1a"/>
          <w:sz w:val="22"/>
          <w:szCs w:val="22"/>
        </w:rPr>
        <w:t xml:space="preserve">Dieses Lastenheft beschreibt die vollständigen Anforderungen an die Neuentwicklung des SAFe PI Capacity Planners als webbasierte Anwendung. Es richtet sich an externe Entwicklungsdienstleister und bildet die verbindliche Grundlage für Angebot, Vertrag und Abnahme.</w:t>
      </w:r>
    </w:p>
    <w:p>
      <w:pPr>
        <w:spacing w:after="100"/>
      </w:pPr>
      <w:r>
        <w:rPr>
          <w:rFonts w:ascii="Arial" w:hAnsi="Arial" w:eastAsia="Arial" w:cs="Arial"/>
          <w:color w:val="1a1a1a"/>
          <w:sz w:val="22"/>
          <w:szCs w:val="22"/>
        </w:rPr>
        <w:t xml:space="preserve">Das Dokument definiert, was das System leisten muss (funktionale Anforderungen), wie es strukturiert sein soll (Architektur und ADRs), unter welchen Bedingungen es betrieben wird (nicht-funktionale Anforderungen) und welche Abnahmekriterien erfüllt sein müssen.</w:t>
      </w:r>
    </w:p>
    <w:p>
      <w:pPr>
        <w:spacing w:after="100"/>
      </w:pPr>
      <w:r>
        <w:rPr>
          <w:rFonts w:ascii="Arial" w:hAnsi="Arial" w:eastAsia="Arial" w:cs="Arial"/>
          <w:color w:val="1a1a1a"/>
          <w:sz w:val="22"/>
          <w:szCs w:val="22"/>
        </w:rPr>
        <w:t xml:space="preserve">Eine erste Version wurde als Proof of Concept realisiert (React/Express/TypeScript, Features 01–23 implementiert). Dieses Lastenheft beschreibt die Anforderungen für eine produktionsreife Neuentwicklung auf Basis der gewonnenen Erkenntnisse.</w:t>
      </w:r>
    </w:p>
    <w:p>
      <w:pPr>
        <w:pStyle w:val="Heading2"/>
      </w:pPr>
      <w:r>
        <w:rPr>
          <w:rFonts w:ascii="Arial" w:hAnsi="Arial" w:eastAsia="Arial" w:cs="Arial"/>
          <w:b/>
          <w:bCs/>
          <w:color w:val="003f7f"/>
          <w:sz w:val="28"/>
          <w:szCs w:val="28"/>
        </w:rPr>
        <w:t xml:space="preserve">1.2 Ausgangslage</w:t>
      </w:r>
    </w:p>
    <w:p>
      <w:pPr>
        <w:spacing w:after="100"/>
      </w:pPr>
      <w:r>
        <w:rPr>
          <w:rFonts w:ascii="Arial" w:hAnsi="Arial" w:eastAsia="Arial" w:cs="Arial"/>
          <w:color w:val="1a1a1a"/>
          <w:sz w:val="22"/>
          <w:szCs w:val="22"/>
        </w:rPr>
        <w:t xml:space="preserve">Das Bundesamt für Informatik und Telekommunikation (BIT) setzt zur Software-Entwicklung das Scaled Agile Framework (SAFe) ein. Alle sechs bis acht Wochen findet ein PI Planning statt, in dem Teams ihre verfügbare Kapazität in Story Points (SP) berechnen und Aufgaben für das kommende Program Increment (PI) planen.</w:t>
      </w:r>
    </w:p>
    <w:p>
      <w:pPr>
        <w:spacing w:after="100"/>
      </w:pPr>
      <w:r>
        <w:rPr>
          <w:rFonts w:ascii="Arial" w:hAnsi="Arial" w:eastAsia="Arial" w:cs="Arial"/>
          <w:color w:val="1a1a1a"/>
          <w:sz w:val="22"/>
          <w:szCs w:val="22"/>
        </w:rPr>
        <w:t xml:space="preserve">Bisher erfolgte diese Kapazitätsplanung manuell in Excel. Dies führt zu Medienbrüchen, hohem Pflegeaufwand und fehlender Transparenz für alle Beteiligten.</w:t>
      </w:r>
    </w:p>
    <w:p>
      <w:pPr>
        <w:pStyle w:val="Heading2"/>
      </w:pPr>
      <w:r>
        <w:rPr>
          <w:rFonts w:ascii="Arial" w:hAnsi="Arial" w:eastAsia="Arial" w:cs="Arial"/>
          <w:b/>
          <w:bCs/>
          <w:color w:val="003f7f"/>
          <w:sz w:val="28"/>
          <w:szCs w:val="28"/>
        </w:rPr>
        <w:t xml:space="preserve">1.3 Auftraggeber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Organisation</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Bundesamt für Informatik und Telekommunikation (BIT)</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Adresse</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Monbijoustrasse 74, 3003 Bern, Schweiz</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Kontext</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Schweizerische Bundesverwaltung</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003f7f"/>
                <w:sz w:val="20"/>
                <w:szCs w:val="20"/>
              </w:rPr>
              <w:t xml:space="preserve">Rahmenwerk</w:t>
            </w:r>
          </w:p>
        </w:tc>
        <w:tc>
          <w:tcPr>
            <w:tcW w:w="6226" w:type="dxa"/>
            <w:tcBorders>
              <w:top w:val="single" w:color="d5d5d5" w:sz="4"/>
              <w:left w:val="single" w:color="d5d5d5" w:sz="4"/>
              <w:bottom w:val="single" w:color="d5d5d5" w:sz="4"/>
              <w:right w:val="single" w:color="d5d5d5" w:sz="4"/>
            </w:tcBorders>
            <w:tcMar>
              <w:left w:w="120" w:type="dxa"/>
              <w:top w:w="80" w:type="dxa"/>
              <w:right w:w="120" w:type="dxa"/>
              <w:bottom w:w="80" w:type="dxa"/>
            </w:tcMar>
          </w:tcPr>
          <w:p>
            <w:r>
              <w:rPr>
                <w:rFonts w:ascii="Arial" w:hAnsi="Arial" w:eastAsia="Arial" w:cs="Arial"/>
                <w:sz w:val="20"/>
                <w:szCs w:val="20"/>
              </w:rPr>
              <w:t xml:space="preserve">SAFe (Scaled Agile Framework)</w:t>
            </w:r>
          </w:p>
        </w:tc>
      </w:tr>
    </w:tbl>
    <w:p>
      <w:pPr>
        <w:pStyle w:val="Heading2"/>
      </w:pPr>
      <w:r>
        <w:rPr>
          <w:rFonts w:ascii="Arial" w:hAnsi="Arial" w:eastAsia="Arial" w:cs="Arial"/>
          <w:b/>
          <w:bCs/>
          <w:color w:val="003f7f"/>
          <w:sz w:val="28"/>
          <w:szCs w:val="28"/>
        </w:rPr>
        <w:t xml:space="preserve">1.4 Geltungsbereich</w:t>
      </w:r>
    </w:p>
    <w:p>
      <w:pPr>
        <w:spacing w:after="100"/>
      </w:pPr>
      <w:r>
        <w:rPr>
          <w:rFonts w:ascii="Arial" w:hAnsi="Arial" w:eastAsia="Arial" w:cs="Arial"/>
          <w:color w:val="1a1a1a"/>
          <w:sz w:val="22"/>
          <w:szCs w:val="22"/>
        </w:rPr>
        <w:t xml:space="preserve">Dieses Lastenheft beschreibt alle Funktionen zum Zeitpunkt der Ausschreibung (April 2026). Roadmap-Features (Phase 6+) werden in Kapitel 13 als optionale Erweiterungen aufgeführt und sind nicht Bestandteil der Grundbestellung.</w:t>
      </w:r>
    </w:p>
    <w:p>
      <w:pPr>
        <w:pStyle w:val="Heading1"/>
        <w:pageBreakBefore w:val="true"/>
      </w:pPr>
      <w:r>
        <w:rPr>
          <w:rFonts w:ascii="Arial" w:hAnsi="Arial" w:eastAsia="Arial" w:cs="Arial"/>
          <w:b/>
          <w:bCs/>
          <w:color w:val="003f7f"/>
          <w:sz w:val="40"/>
          <w:szCs w:val="40"/>
        </w:rPr>
        <w:t xml:space="preserve">2. Projektziel und Systemübersicht</w:t>
      </w:r>
    </w:p>
    <w:p>
      <w:pPr>
        <w:pStyle w:val="Heading2"/>
      </w:pPr>
      <w:r>
        <w:rPr>
          <w:rFonts w:ascii="Arial" w:hAnsi="Arial" w:eastAsia="Arial" w:cs="Arial"/>
          <w:b/>
          <w:bCs/>
          <w:color w:val="003f7f"/>
          <w:sz w:val="28"/>
          <w:szCs w:val="28"/>
        </w:rPr>
        <w:t xml:space="preserve">2.1 Projektziel</w:t>
      </w:r>
    </w:p>
    <w:p>
      <w:pPr>
        <w:spacing w:after="100"/>
      </w:pPr>
      <w:r>
        <w:rPr>
          <w:rFonts w:ascii="Arial" w:hAnsi="Arial" w:eastAsia="Arial" w:cs="Arial"/>
          <w:color w:val="1a1a1a"/>
          <w:sz w:val="22"/>
          <w:szCs w:val="22"/>
        </w:rPr>
        <w:t xml:space="preserve">Der SAFe PI Capacity Planner ist eine webbasierte Mehrbenutzerlösung zur Kapazitätsplanung für SAFe PI Planning in der Bundesverwaltung. Das System ermöglicht es Teams, ihre verfügbaren Story Points pro PI und Iteration zu berechnen, indem es individuelle Mitarbeiterabsenzen, Feiertage, Schulferien, Betriebsaufgaben und Pikett-Verpflichtungen berücksichtigt.</w:t>
      </w:r>
    </w:p>
    <w:p>
      <w:pPr>
        <w:pStyle w:val="Heading2"/>
      </w:pPr>
      <w:r>
        <w:rPr>
          <w:rFonts w:ascii="Arial" w:hAnsi="Arial" w:eastAsia="Arial" w:cs="Arial"/>
          <w:b/>
          <w:bCs/>
          <w:color w:val="003f7f"/>
          <w:sz w:val="28"/>
          <w:szCs w:val="28"/>
        </w:rPr>
        <w:t xml:space="preserve">2.2 Kernfunktionen im Überblick</w:t>
      </w:r>
    </w:p>
    <w:p>
      <w:pPr>
        <w:pStyle w:val="ListParagraph"/>
        <w:numPr>
          <w:ilvl w:val="0"/>
          <w:numId w:val="2"/>
        </w:numPr>
      </w:pPr>
      <w:r>
        <w:rPr>
          <w:rFonts w:ascii="Arial" w:hAnsi="Arial" w:eastAsia="Arial" w:cs="Arial"/>
          <w:sz w:val="22"/>
          <w:szCs w:val="22"/>
        </w:rPr>
        <w:t xml:space="preserve">Verwaltung von Mitarbeiterstammdaten (CRUD, CSV-Import/-Export)</w:t>
      </w:r>
    </w:p>
    <w:p>
      <w:pPr>
        <w:pStyle w:val="ListParagraph"/>
        <w:numPr>
          <w:ilvl w:val="0"/>
          <w:numId w:val="2"/>
        </w:numPr>
      </w:pPr>
      <w:r>
        <w:rPr>
          <w:rFonts w:ascii="Arial" w:hAnsi="Arial" w:eastAsia="Arial" w:cs="Arial"/>
          <w:sz w:val="22"/>
          <w:szCs w:val="22"/>
        </w:rPr>
        <w:t xml:space="preserve">Visuelle Absenzbuchung via Drag-and-Drop im Kalender</w:t>
      </w:r>
    </w:p>
    <w:p>
      <w:pPr>
        <w:pStyle w:val="ListParagraph"/>
        <w:numPr>
          <w:ilvl w:val="0"/>
          <w:numId w:val="2"/>
        </w:numPr>
      </w:pPr>
      <w:r>
        <w:rPr>
          <w:rFonts w:ascii="Arial" w:hAnsi="Arial" w:eastAsia="Arial" w:cs="Arial"/>
          <w:sz w:val="22"/>
          <w:szCs w:val="22"/>
        </w:rPr>
        <w:t xml:space="preserve">Automatische Berechnung verfügbarer Story Points pro Mitarbeiter, Team und Iteration</w:t>
      </w:r>
    </w:p>
    <w:p>
      <w:pPr>
        <w:pStyle w:val="ListParagraph"/>
        <w:numPr>
          <w:ilvl w:val="0"/>
          <w:numId w:val="2"/>
        </w:numPr>
      </w:pPr>
      <w:r>
        <w:rPr>
          <w:rFonts w:ascii="Arial" w:hAnsi="Arial" w:eastAsia="Arial" w:cs="Arial"/>
          <w:sz w:val="22"/>
          <w:szCs w:val="22"/>
        </w:rPr>
        <w:t xml:space="preserve">Dashboard mit KPI-Karten, Diagrammen und automatischer Lückenerkennung (Betrieb, Pikett)</w:t>
      </w:r>
    </w:p>
    <w:p>
      <w:pPr>
        <w:pStyle w:val="ListParagraph"/>
        <w:numPr>
          <w:ilvl w:val="0"/>
          <w:numId w:val="2"/>
        </w:numPr>
      </w:pPr>
      <w:r>
        <w:rPr>
          <w:rFonts w:ascii="Arial" w:hAnsi="Arial" w:eastAsia="Arial" w:cs="Arial"/>
          <w:sz w:val="22"/>
          <w:szCs w:val="22"/>
        </w:rPr>
        <w:t xml:space="preserve">PI Dashboard: Vergleich geplante SP (Jira) vs. berechnete SP (App)</w:t>
      </w:r>
    </w:p>
    <w:p>
      <w:pPr>
        <w:pStyle w:val="ListParagraph"/>
        <w:numPr>
          <w:ilvl w:val="0"/>
          <w:numId w:val="2"/>
        </w:numPr>
      </w:pPr>
      <w:r>
        <w:rPr>
          <w:rFonts w:ascii="Arial" w:hAnsi="Arial" w:eastAsia="Arial" w:cs="Arial"/>
          <w:sz w:val="22"/>
          <w:szCs w:val="22"/>
        </w:rPr>
        <w:t xml:space="preserve">Echtzeit-Synchronisation für mehrere gleichzeitige Benutzer via WebSocket</w:t>
      </w:r>
    </w:p>
    <w:p>
      <w:pPr>
        <w:pStyle w:val="ListParagraph"/>
        <w:numPr>
          <w:ilvl w:val="0"/>
          <w:numId w:val="2"/>
        </w:numPr>
      </w:pPr>
      <w:r>
        <w:rPr>
          <w:rFonts w:ascii="Arial" w:hAnsi="Arial" w:eastAsia="Arial" w:cs="Arial"/>
          <w:sz w:val="22"/>
          <w:szCs w:val="22"/>
        </w:rPr>
        <w:t xml:space="preserve">Mandantenfähigkeit: mehrere Agile Release Trains (ART) isoliert verwaltbar</w:t>
      </w:r>
    </w:p>
    <w:p>
      <w:pPr>
        <w:pStyle w:val="ListParagraph"/>
        <w:numPr>
          <w:ilvl w:val="0"/>
          <w:numId w:val="2"/>
        </w:numPr>
      </w:pPr>
      <w:r>
        <w:rPr>
          <w:rFonts w:ascii="Arial" w:hAnsi="Arial" w:eastAsia="Arial" w:cs="Arial"/>
          <w:sz w:val="22"/>
          <w:szCs w:val="22"/>
        </w:rPr>
        <w:t xml:space="preserve">Vollständige Export-Funktionen (PDF, PNG, JSON-Backup)</w:t>
      </w:r>
    </w:p>
    <w:p>
      <w:pPr>
        <w:pStyle w:val="ListParagraph"/>
        <w:numPr>
          <w:ilvl w:val="0"/>
          <w:numId w:val="2"/>
        </w:numPr>
      </w:pPr>
      <w:r>
        <w:rPr>
          <w:rFonts w:ascii="Arial" w:hAnsi="Arial" w:eastAsia="Arial" w:cs="Arial"/>
          <w:sz w:val="22"/>
          <w:szCs w:val="22"/>
        </w:rPr>
        <w:t xml:space="preserve">Corporate Design Bund (Bundesblau, Bundesrot, Swiss Design System)</w:t>
      </w:r>
    </w:p>
    <w:p>
      <w:pPr>
        <w:pStyle w:val="Heading2"/>
      </w:pPr>
      <w:r>
        <w:rPr>
          <w:rFonts w:ascii="Arial" w:hAnsi="Arial" w:eastAsia="Arial" w:cs="Arial"/>
          <w:b/>
          <w:bCs/>
          <w:color w:val="003f7f"/>
          <w:sz w:val="28"/>
          <w:szCs w:val="28"/>
        </w:rPr>
        <w:t xml:space="preserve">2.3 Systemgrenzen (Out of Scope)</w:t>
      </w:r>
    </w:p>
    <w:p>
      <w:pPr>
        <w:pStyle w:val="ListParagraph"/>
        <w:numPr>
          <w:ilvl w:val="0"/>
          <w:numId w:val="2"/>
        </w:numPr>
      </w:pPr>
      <w:r>
        <w:rPr>
          <w:rFonts w:ascii="Arial" w:hAnsi="Arial" w:eastAsia="Arial" w:cs="Arial"/>
          <w:sz w:val="22"/>
          <w:szCs w:val="22"/>
        </w:rPr>
        <w:t xml:space="preserve">Mobile App (nativer iOS/Android-Client)</w:t>
      </w:r>
    </w:p>
    <w:p>
      <w:pPr>
        <w:pStyle w:val="ListParagraph"/>
        <w:numPr>
          <w:ilvl w:val="0"/>
          <w:numId w:val="2"/>
        </w:numPr>
      </w:pPr>
      <w:r>
        <w:rPr>
          <w:rFonts w:ascii="Arial" w:hAnsi="Arial" w:eastAsia="Arial" w:cs="Arial"/>
          <w:sz w:val="22"/>
          <w:szCs w:val="22"/>
        </w:rPr>
        <w:t xml:space="preserve">SSO / Active Directory / LDAP Integration</w:t>
      </w:r>
    </w:p>
    <w:p>
      <w:pPr>
        <w:pStyle w:val="ListParagraph"/>
        <w:numPr>
          <w:ilvl w:val="0"/>
          <w:numId w:val="2"/>
        </w:numPr>
      </w:pPr>
      <w:r>
        <w:rPr>
          <w:rFonts w:ascii="Arial" w:hAnsi="Arial" w:eastAsia="Arial" w:cs="Arial"/>
          <w:sz w:val="22"/>
          <w:szCs w:val="22"/>
        </w:rPr>
        <w:t xml:space="preserve">SAP-Integration</w:t>
      </w:r>
    </w:p>
    <w:p>
      <w:pPr>
        <w:pStyle w:val="ListParagraph"/>
        <w:numPr>
          <w:ilvl w:val="0"/>
          <w:numId w:val="2"/>
        </w:numPr>
      </w:pPr>
      <w:r>
        <w:rPr>
          <w:rFonts w:ascii="Arial" w:hAnsi="Arial" w:eastAsia="Arial" w:cs="Arial"/>
          <w:sz w:val="22"/>
          <w:szCs w:val="22"/>
        </w:rPr>
        <w:t xml:space="preserve">Automatische Feiertagsberechnung (manuelle Pflege via CSV)</w:t>
      </w:r>
    </w:p>
    <w:p>
      <w:pPr>
        <w:pStyle w:val="ListParagraph"/>
        <w:numPr>
          <w:ilvl w:val="0"/>
          <w:numId w:val="2"/>
        </w:numPr>
      </w:pPr>
      <w:r>
        <w:rPr>
          <w:rFonts w:ascii="Arial" w:hAnsi="Arial" w:eastAsia="Arial" w:cs="Arial"/>
          <w:sz w:val="22"/>
          <w:szCs w:val="22"/>
        </w:rPr>
        <w:t xml:space="preserve">Jira REST API Integration (manuelle SP-Eingabe, keine automatische Synchronisation)</w:t>
      </w:r>
    </w:p>
    <w:p>
      <w:pPr>
        <w:pStyle w:val="ListParagraph"/>
        <w:numPr>
          <w:ilvl w:val="0"/>
          <w:numId w:val="2"/>
        </w:numPr>
      </w:pPr>
      <w:r>
        <w:rPr>
          <w:rFonts w:ascii="Arial" w:hAnsi="Arial" w:eastAsia="Arial" w:cs="Arial"/>
          <w:sz w:val="22"/>
          <w:szCs w:val="22"/>
        </w:rPr>
        <w:t xml:space="preserve">Custom Allocation Types und Rollenkonzept (Roadmap)</w:t>
      </w:r>
    </w:p>
    <w:p>
      <w:pPr>
        <w:pStyle w:val="Heading1"/>
        <w:pageBreakBefore w:val="true"/>
      </w:pPr>
      <w:r>
        <w:rPr>
          <w:rFonts w:ascii="Arial" w:hAnsi="Arial" w:eastAsia="Arial" w:cs="Arial"/>
          <w:b/>
          <w:bCs/>
          <w:color w:val="003f7f"/>
          <w:sz w:val="40"/>
          <w:szCs w:val="40"/>
        </w:rPr>
        <w:t xml:space="preserve">3. Architektur-Übersicht</w:t>
      </w:r>
    </w:p>
    <w:p>
      <w:pPr>
        <w:pStyle w:val="Heading2"/>
      </w:pPr>
      <w:r>
        <w:rPr>
          <w:rFonts w:ascii="Arial" w:hAnsi="Arial" w:eastAsia="Arial" w:cs="Arial"/>
          <w:b/>
          <w:bCs/>
          <w:color w:val="003f7f"/>
          <w:sz w:val="28"/>
          <w:szCs w:val="28"/>
        </w:rPr>
        <w:t xml:space="preserve">3.1 Systemarchitektur</w:t>
      </w:r>
    </w:p>
    <w:p>
      <w:pPr>
        <w:spacing w:after="100"/>
      </w:pPr>
      <w:r>
        <w:rPr>
          <w:rFonts w:ascii="Arial" w:hAnsi="Arial" w:eastAsia="Arial" w:cs="Arial"/>
          <w:color w:val="1a1a1a"/>
          <w:sz w:val="22"/>
          <w:szCs w:val="22"/>
        </w:rPr>
        <w:t xml:space="preserve">Die Applikation folgt einer klassischen Fullstack-Architektur mit getrenntem Frontend und Backend. Beide Komponenten sind stateless und containerisierbar. Die Datenhaltung erfolgt server-seitig als JSON-basierter Dateispeicher.</w:t>
      </w:r>
    </w:p>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Architekturprinzip: Der Server ist die einzige Source of Truth. Der Client hält keinen persistenten State — alle Daten werden beim Start via REST geladen und bei Änderungen via WebSocket synchronisiert.</w:t>
            </w:r>
          </w:p>
        </w:tc>
      </w:tr>
    </w:tbl>
    <w:p/>
    <w:p>
      <w:pPr>
        <w:pStyle w:val="Heading2"/>
      </w:pPr>
      <w:r>
        <w:rPr>
          <w:rFonts w:ascii="Arial" w:hAnsi="Arial" w:eastAsia="Arial" w:cs="Arial"/>
          <w:b/>
          <w:bCs/>
          <w:color w:val="003f7f"/>
          <w:sz w:val="28"/>
          <w:szCs w:val="28"/>
        </w:rPr>
        <w:t xml:space="preserve">3.2 Architektur-Komponenten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26"/>
        <w:gridCol w:w="1800"/>
      </w:tblGrid>
      <w:tr>
        <w:trPr>
          <w:tblHeader/>
        </w:trPr>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Komponente</w:t>
            </w:r>
          </w:p>
        </w:tc>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Typ</w:t>
            </w:r>
          </w:p>
        </w:tc>
        <w:tc>
          <w:tcPr>
            <w:tcW w:w="34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Technologie</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Web-Frontend</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Single Page Application</w:t>
            </w:r>
          </w:p>
        </w:tc>
        <w:tc>
          <w:tcPr>
            <w:tcW w:w="3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Stateless, vollständige UI, Kalender-Grid mit Drag-Booking, Echtzeit-Sync via Socket.io Client</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React 19, TypeScript, Vite, Tailwind CSS</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Backend API</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REST + WebSocket Server</w:t>
            </w:r>
          </w:p>
        </w:tc>
        <w:tc>
          <w:tcPr>
            <w:tcW w:w="3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Stateless HTTP-Handler für CRUD; WebSocket-Broker für Echtzeit-Events pro Tenant-Room</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Node.js, Express 5, Socket.io, TypeScript</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TenantManager</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Business-Logic Modul</w:t>
            </w:r>
          </w:p>
        </w:tc>
        <w:tc>
          <w:tcPr>
            <w:tcW w:w="3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Verwaltung der Tenant-Registry, Admin-Code-Hashing (bcryptjs), State-Isolation pro Train</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TypeScript-Modul im Backend</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StateManager</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Persistenz-Modul</w:t>
            </w:r>
          </w:p>
        </w:tc>
        <w:tc>
          <w:tcPr>
            <w:tcW w:w="3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In-Memory State-Cache mit File-Persistence; liest/schreibt state_{tenantId}.json</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TypeScript-Modul im Backend</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Datenpersistenz</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Filesystem (JSON)</w:t>
            </w:r>
          </w:p>
        </w:tc>
        <w:tc>
          <w:tcPr>
            <w:tcW w:w="3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Kein externes Datenbank-System. Alle Daten als versionierte JSON-Dateien.</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Node.js fs-Modul</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Diagramme</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Frontend-Bibliothek</w:t>
            </w:r>
          </w:p>
        </w:tc>
        <w:tc>
          <w:tcPr>
            <w:tcW w:w="3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Balkendiagramme für SP-Kapazität im Dashboard und PI Dashboard</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Recharts</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PDF/PNG-Export</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Frontend-Bibliothek</w:t>
            </w:r>
          </w:p>
        </w:tc>
        <w:tc>
          <w:tcPr>
            <w:tcW w:w="3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Client-seitiger Export via DOM-Rendering; inkl. Bundeslogo-Header</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jsPDF + html2canvas</w:t>
            </w:r>
          </w:p>
        </w:tc>
      </w:tr>
    </w:tbl>
    <w:p>
      <w:pPr>
        <w:pStyle w:val="Heading2"/>
      </w:pPr>
      <w:r>
        <w:rPr>
          <w:rFonts w:ascii="Arial" w:hAnsi="Arial" w:eastAsia="Arial" w:cs="Arial"/>
          <w:b/>
          <w:bCs/>
          <w:color w:val="003f7f"/>
          <w:sz w:val="28"/>
          <w:szCs w:val="28"/>
        </w:rPr>
        <w:t xml:space="preserve">3.3 Deployment-Environments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800"/>
        <w:gridCol w:w="2826"/>
      </w:tblGrid>
      <w:tr>
        <w:trPr>
          <w:tblHeader/>
        </w:trPr>
        <w:tc>
          <w:tcPr>
            <w:tcW w:w="14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Environment</w:t>
            </w:r>
          </w:p>
        </w:tc>
        <w:tc>
          <w:tcPr>
            <w:tcW w:w="12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Zweck</w:t>
            </w:r>
          </w:p>
        </w:tc>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Frontend</w:t>
            </w:r>
          </w:p>
        </w:tc>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Backend</w:t>
            </w:r>
          </w:p>
        </w:tc>
        <w:tc>
          <w:tcPr>
            <w:tcW w:w="28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Deployment</w:t>
            </w:r>
          </w:p>
        </w:tc>
      </w:tr>
      <w:tr>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Lokal (DEV)</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Entwicklung</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Vite Dev-Server Port 5173</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Express Port 3001</w:t>
            </w:r>
          </w:p>
        </w:tc>
        <w:tc>
          <w:tcPr>
            <w:tcW w:w="28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npm run dev – Vite-Proxy leitet /api/* an Port 3001 weiter</w:t>
            </w:r>
          </w:p>
        </w:tc>
      </w:tr>
      <w:tr>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Produktion</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Betrieb</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Vercel (CDN, Auto-Deploy via GitHub)</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Railway (Node.js, persistentes Filesystem)</w:t>
            </w:r>
          </w:p>
        </w:tc>
        <w:tc>
          <w:tcPr>
            <w:tcW w:w="28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GitHub Push → automatisches Build &amp; Deploy</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d97706" w:sz="4"/>
              <w:left w:val="single" w:color="d97706" w:sz="20"/>
              <w:bottom w:val="single" w:color="d97706" w:sz="4"/>
              <w:right w:val="single" w:color="d97706" w:sz="4"/>
            </w:tcBorders>
            <w:shd w:val="clear" w:fill="fef9c3"/>
            <w:tcMar>
              <w:left w:w="160" w:type="dxa"/>
              <w:top w:w="100" w:type="dxa"/>
              <w:right w:w="160" w:type="dxa"/>
              <w:bottom w:w="100" w:type="dxa"/>
            </w:tcMar>
          </w:tcPr>
          <w:p>
            <w:r>
              <w:rPr>
                <w:rFonts w:ascii="Arial" w:hAnsi="Arial" w:eastAsia="Arial" w:cs="Arial"/>
                <w:color w:val="1a1a1a"/>
                <w:sz w:val="20"/>
                <w:szCs w:val="20"/>
              </w:rPr>
              <w:t xml:space="preserve">Hinweis zu Filesystem-Persistenz: Die JSON-basierte Datenhaltung erfordert ein persistentes Filesystem auf dem Backend-Host. PaaS-Plattformen mit ephemerem Filesystem sind nicht geeignet. Alternativ kann die Persistenzschicht durch PostgreSQL oder SQLite ersetzt werden, ohne die API-Schnittstellen zu verändern.</w:t>
            </w:r>
          </w:p>
        </w:tc>
      </w:tr>
    </w:tbl>
    <w:p/>
    <w:p>
      <w:pPr>
        <w:pStyle w:val="Heading2"/>
      </w:pPr>
      <w:r>
        <w:rPr>
          <w:rFonts w:ascii="Arial" w:hAnsi="Arial" w:eastAsia="Arial" w:cs="Arial"/>
          <w:b/>
          <w:bCs/>
          <w:color w:val="003f7f"/>
          <w:sz w:val="28"/>
          <w:szCs w:val="28"/>
        </w:rPr>
        <w:t xml:space="preserve">3.4 Datenfluss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gridCol w:w="1600"/>
      </w:tblGrid>
      <w:tr>
        <w:trPr>
          <w:tblHeader/>
        </w:trPr>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Vorgang</w:t>
            </w:r>
          </w:p>
        </w:tc>
        <w:tc>
          <w:tcPr>
            <w:tcW w:w="56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Weg</w:t>
            </w:r>
          </w:p>
        </w:tc>
        <w:tc>
          <w:tcPr>
            <w:tcW w:w="16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Protokoll</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App-Start</w:t>
            </w:r>
          </w:p>
        </w:tc>
        <w:tc>
          <w:tcPr>
            <w:tcW w:w="5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Client → GET /api/state?tenantId=X → vollständiger AppData-State</w:t>
            </w:r>
          </w:p>
        </w:tc>
        <w:tc>
          <w:tcPr>
            <w:tcW w:w="1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HTTP/REST</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Absenz-Buchung</w:t>
            </w:r>
          </w:p>
        </w:tc>
        <w:tc>
          <w:tcPr>
            <w:tcW w:w="5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Client → Socket.io allocation:change → Server patcht State → broadcast an alle Clients im Room</w:t>
            </w:r>
          </w:p>
        </w:tc>
        <w:tc>
          <w:tcPr>
            <w:tcW w:w="1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WebSocket</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Settings-Änderung</w:t>
            </w:r>
          </w:p>
        </w:tc>
        <w:tc>
          <w:tcPr>
            <w:tcW w:w="5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Client → Socket.io settings:change → Server patcht State → broadcast</w:t>
            </w:r>
          </w:p>
        </w:tc>
        <w:tc>
          <w:tcPr>
            <w:tcW w:w="1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WebSocket</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Backup-Export</w:t>
            </w:r>
          </w:p>
        </w:tc>
        <w:tc>
          <w:tcPr>
            <w:tcW w:w="5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Client → GET /api/state?tenantId=X → JSON-Download im Browser</w:t>
            </w:r>
          </w:p>
        </w:tc>
        <w:tc>
          <w:tcPr>
            <w:tcW w:w="1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HTTP/REST</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Backup-Import</w:t>
            </w:r>
          </w:p>
        </w:tc>
        <w:tc>
          <w:tcPr>
            <w:tcW w:w="5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Client → POST /api/state?tenantId=X → Server ersetzt State → state:full broadcast</w:t>
            </w:r>
          </w:p>
        </w:tc>
        <w:tc>
          <w:tcPr>
            <w:tcW w:w="1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HTTP + WebSocket</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Train-Wechsel</w:t>
            </w:r>
          </w:p>
        </w:tc>
        <w:tc>
          <w:tcPr>
            <w:tcW w:w="5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Client → Socket.io tenant:join → Server joingt neuen Room → state:full</w:t>
            </w:r>
          </w:p>
        </w:tc>
        <w:tc>
          <w:tcPr>
            <w:tcW w:w="1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WebSocket</w:t>
            </w:r>
          </w:p>
        </w:tc>
      </w:tr>
    </w:tbl>
    <w:p>
      <w:pPr>
        <w:pStyle w:val="Heading1"/>
        <w:pageBreakBefore w:val="true"/>
      </w:pPr>
      <w:r>
        <w:rPr>
          <w:rFonts w:ascii="Arial" w:hAnsi="Arial" w:eastAsia="Arial" w:cs="Arial"/>
          <w:b/>
          <w:bCs/>
          <w:color w:val="003f7f"/>
          <w:sz w:val="40"/>
          <w:szCs w:val="40"/>
        </w:rPr>
        <w:t xml:space="preserve">4. Architectural Decision Records (ADR)</w:t>
      </w:r>
    </w:p>
    <w:p>
      <w:pPr>
        <w:spacing w:after="100"/>
      </w:pPr>
      <w:r>
        <w:rPr>
          <w:rFonts w:ascii="Arial" w:hAnsi="Arial" w:eastAsia="Arial" w:cs="Arial"/>
          <w:color w:val="1a1a1a"/>
          <w:sz w:val="22"/>
          <w:szCs w:val="22"/>
        </w:rPr>
        <w:t xml:space="preserve">Die folgenden ADRs dokumentieren die wesentlichen Architekturentscheide mit Begründung und Konsequenzen. Sie sind verbindliche Orientierung für die Neuentwicklung.</w:t>
      </w:r>
    </w:p>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ADR-001: JSON-Dateisystem statt relationale Datenbank</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Alle Anwendungsdaten werden als JSON-Dateien im Backend-Filesystem gespeichert. Kein SQL-ORM, keine externe Datenbank.</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Einfacheres Deployment (kein DB-Setup), kein Schema-Management, vollständige Daten-Portabilität via JSON-Backup. Für die Zielnutzerzahl (&lt; 20 gleichzeitig) ausreichend performant.</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Konsequenzen:</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Kein Locking bei konkurrierenden Schreibzugriffen (Last-Write-Wins, akzeptiert). Backup = vollständiges JSON-Snapshot. Persistentes Filesystem auf dem Host erforderlich.</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Alternative:</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PostgreSQL oder SQLite möglich – Persistenzschicht ist intern hinter StateManager-Interface abstrahiert und kann ohne API-Änderung ausgetauscht werden.</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AKZEPTIERT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ADR-002: Server als einzige Source of Truth (Multiuser)</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Der Server hält den vollständigen AppData-State in Memory (mit File-Persistenz). Clients sind zustandslos und erhalten bei Verbindung den vollständigen State via REST.</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Konsistente Datensicht für alle gleichzeitigen Benutzer. Kein Merge-Konflikt-Management nötig. Einfache Reconnect-Logik.</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Verbote:</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LocalStorage darf ausschliesslich für UI-Präferenzen verwendet werden – nie für Geschäftsdaten.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AKZEPTIERT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ADR-003: Blocker-Tage sind keine Absenzen (Geschäftsregel)</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Change-Freeze / Blocker-Tage zählen als normale Arbeitstage. Kein SP-Abzug. Nur visuelle Markierung im Kalender (Schneeflocken-Symbol).</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Ein Freeze-Tag blockiert Deployments, nicht die Entwicklungskapazität. Mitarbeiter arbeiten weiterhin an Story Points.</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AKZEPTIERT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ADR-004: Tenant-Isolation via Backend-Rooms und getrennte State-Dateien</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Jeder Agile Release Train erhält eine eigene State-Datei (state_{tenantId}.json) und einen eigenen Socket.io-Room.</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BIT betreibt mehrere Trains (PS-NET, PS-INT etc.) die unabhängig planen müssen. Datenlecks zwischen Trains sind inakzeptabel.</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Konsequenzen:</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TenantGate-Splash beim App-Start. Header zeigt aktiven Train. Socket.io-Events werden nur innerhalb des jeweiligen Rooms gebroadcastet.</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AKZEPTIERT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ADR-005: Pikett-Lücken gelten 7x24, Betrieb-Lücken nur an Arbeitstagen</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Betrieb-Lücken werden nur an Werktagen (kein Wochenende, kein gesetzlicher Feiertag) gemeldet. Pikett-Lücken gelten jeden Tag, einschliesslich Wochenenden und Feiertagen.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Betriebsdienste fallen an Weihnachten nicht an – keine Lücke. Pikett-Dienst (Störungsbereitschaft) gilt 365 Tage/Jahr.</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AKZEPTIERT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ADR-006: Admin-Code mit bcrypt-Hash und server-seitigem Rate-Limiting</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Admin-Codes werden als bcryptjs-Hash in der Tenant-Registry gespeichert. Rate-Limiting: max. 3 Fehlversuche, dann 60 Sekunden Sperre (server-seitig).</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Kein Plaintext-Passwort in der Konfiguration. Brute-Force-Schutz ohne externe Auth-Infrastruktur.</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Einschränkungen:</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Kein echter 2FA. Code 15 Minuten im sessionStorage gecacht. Ausreichend für internen Pilotbetrieb.</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AKZEPTIERT – TOTP als Roadmap-Feature R-01 geplant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ADR-007: Swiss Design System CSS-Variablen-Architektur (BIT Skin)</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Farbdefinitionen folgen dem Swiss Design System CSS-Custom-Properties-Schema (--color-primary-*, --color-secondary-*). BIT-Skin: Bundesblau als primary-700, Bundesrot als secondary-500.</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Zukunftssicherheit für Swiss-DS-Updates. Austauschbare Themes ohne Code-Änderungen. NotoSans als Frutiger-Fallback (Open Source, selbst-gehostet).</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Konsequenzen:</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Keine externen Fonts via CDN. Alle Schriftarten lokal gehostet.</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AKZEPTIERT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w="9026" w:type="dxa"/>
            <w:gridSpan w:val="2"/>
            <w:tcBorders>
              <w:top w:val="single" w:color="003f7f" w:sz="4"/>
              <w:left w:val="single" w:color="003f7f" w:sz="4"/>
              <w:bottom w:val="single" w:color="003f7f" w:sz="4"/>
              <w:right w:val="single" w:color="003f7f" w:sz="4"/>
            </w:tcBorders>
            <w:shd w:val="clear" w:fill="003f7f"/>
            <w:tcMar>
              <w:left w:w="160" w:type="dxa"/>
              <w:top w:w="80" w:type="dxa"/>
              <w:right w:w="160" w:type="dxa"/>
              <w:bottom w:w="80" w:type="dxa"/>
            </w:tcMar>
          </w:tcPr>
          <w:p>
            <w:r>
              <w:rPr>
                <w:rFonts w:ascii="Arial" w:hAnsi="Arial" w:eastAsia="Arial" w:cs="Arial"/>
                <w:b/>
                <w:bCs/>
                <w:color w:val="ffffff"/>
                <w:sz w:val="20"/>
                <w:szCs w:val="20"/>
              </w:rPr>
              <w:t xml:space="preserve">ADR-008: SP/Tag und Std/Jahr als globale Parameter (nicht pro Team)</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Entscheidung:</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Story Points pro Tag und Arbeitsstunden pro Jahr sind systemweite Konstanten, konfigurierbar in den globalen Einstellungen.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003f7f"/>
                <w:sz w:val="18"/>
                <w:szCs w:val="18"/>
              </w:rPr>
              <w:t xml:space="preserve">Begründung:</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color w:val="1a1a1a"/>
                <w:sz w:val="18"/>
                <w:szCs w:val="18"/>
              </w:rPr>
              <w:t xml:space="preserve">Organisationsweite Standards sind einheitlich. Pro-Team-Konfiguration würde zu inkonsistenten Vergleichen zwischen Teams führen.</w:t>
            </w:r>
          </w:p>
        </w:tc>
      </w:tr>
      <w:tr>
        <w:tc>
          <w:tcPr>
            <w:tcW w:w="2000"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b/>
                <w:bCs/>
                <w:color w:val="003f7f"/>
                <w:sz w:val="18"/>
                <w:szCs w:val="18"/>
              </w:rPr>
              <w:t xml:space="preserve">Status:</w:t>
            </w:r>
          </w:p>
        </w:tc>
        <w:tc>
          <w:tcPr>
            <w:tcW w:w="7026" w:type="dxa"/>
            <w:tcBorders>
              <w:top w:val="single" w:color="d5d5d5" w:sz="4"/>
              <w:left w:val="single" w:color="d5d5d5" w:sz="4"/>
              <w:bottom w:val="single" w:color="d5d5d5" w:sz="4"/>
              <w:right w:val="single" w:color="d5d5d5" w:sz="4"/>
            </w:tcBorders>
            <w:shd w:val="clear" w:fill="ebf2fb"/>
            <w:tcMar>
              <w:left w:w="120" w:type="dxa"/>
              <w:top w:w="80" w:type="dxa"/>
              <w:right w:w="120" w:type="dxa"/>
              <w:bottom w:w="80" w:type="dxa"/>
            </w:tcMar>
          </w:tcPr>
          <w:p>
            <w:r>
              <w:rPr>
                <w:rFonts w:ascii="Arial" w:hAnsi="Arial" w:eastAsia="Arial" w:cs="Arial"/>
                <w:color w:val="1a1a1a"/>
                <w:sz w:val="18"/>
                <w:szCs w:val="18"/>
              </w:rPr>
              <w:t xml:space="preserve">AKZEPTIERT</w:t>
            </w:r>
          </w:p>
        </w:tc>
      </w:tr>
    </w:tbl>
    <w:p>
      <w:pPr>
        <w:pStyle w:val="Heading1"/>
        <w:pageBreakBefore w:val="true"/>
      </w:pPr>
      <w:r>
        <w:rPr>
          <w:rFonts w:ascii="Arial" w:hAnsi="Arial" w:eastAsia="Arial" w:cs="Arial"/>
          <w:b/>
          <w:bCs/>
          <w:color w:val="003f7f"/>
          <w:sz w:val="40"/>
          <w:szCs w:val="40"/>
        </w:rPr>
        <w:t xml:space="preserve">5. Benutzergruppen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w="25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Rolle</w:t>
            </w:r>
          </w:p>
        </w:tc>
        <w:tc>
          <w:tcPr>
            <w:tcW w:w="25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40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Hauptaufgaben</w:t>
            </w:r>
          </w:p>
        </w:tc>
      </w:tr>
      <w:tr>
        <w:tc>
          <w:tcPr>
            <w:tcW w:w="2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Scrum Master / Chapter Lead</w:t>
            </w:r>
          </w:p>
        </w:tc>
        <w:tc>
          <w:tcPr>
            <w:tcW w:w="2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Primärnutzer der Anwendung</w:t>
            </w:r>
          </w:p>
        </w:tc>
        <w:tc>
          <w:tcPr>
            <w:tcW w:w="4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Absenzen erfassen, Kapazität berechnen, Dashboard auswerten</w:t>
            </w:r>
          </w:p>
        </w:tc>
      </w:tr>
      <w:tr>
        <w:tc>
          <w:tcPr>
            <w:tcW w:w="2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IT-Manager / Train Engineer</w:t>
            </w:r>
          </w:p>
        </w:tc>
        <w:tc>
          <w:tcPr>
            <w:tcW w:w="2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Überblick über alle Teams</w:t>
            </w:r>
          </w:p>
        </w:tc>
        <w:tc>
          <w:tcPr>
            <w:tcW w:w="4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PI-Planung konfigurieren, Zielwerte setzen, Berichte exportieren</w:t>
            </w:r>
          </w:p>
        </w:tc>
      </w:tr>
      <w:tr>
        <w:tc>
          <w:tcPr>
            <w:tcW w:w="2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Product Owner</w:t>
            </w:r>
          </w:p>
        </w:tc>
        <w:tc>
          <w:tcPr>
            <w:tcW w:w="2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Jira-Daten pflegen</w:t>
            </w:r>
          </w:p>
        </w:tc>
        <w:tc>
          <w:tcPr>
            <w:tcW w:w="4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SP aus Jira pro Team und Iteration manuell erfassen</w:t>
            </w:r>
          </w:p>
        </w:tc>
      </w:tr>
      <w:tr>
        <w:tc>
          <w:tcPr>
            <w:tcW w:w="2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Train-Administrator</w:t>
            </w:r>
          </w:p>
        </w:tc>
        <w:tc>
          <w:tcPr>
            <w:tcW w:w="2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Systemverwaltung</w:t>
            </w:r>
          </w:p>
        </w:tc>
        <w:tc>
          <w:tcPr>
            <w:tcW w:w="4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Trains verwalten, Daten zurücksetzen, Admin-Code verwalten</w:t>
            </w:r>
          </w:p>
        </w:tc>
      </w:tr>
    </w:tbl>
    <w:p>
      <w:pPr>
        <w:pStyle w:val="Heading1"/>
        <w:pageBreakBefore w:val="true"/>
      </w:pPr>
      <w:r>
        <w:rPr>
          <w:rFonts w:ascii="Arial" w:hAnsi="Arial" w:eastAsia="Arial" w:cs="Arial"/>
          <w:b/>
          <w:bCs/>
          <w:color w:val="003f7f"/>
          <w:sz w:val="40"/>
          <w:szCs w:val="40"/>
        </w:rPr>
        <w:t xml:space="preserve">6. Konzeptuelles Datenmodell</w:t>
      </w:r>
    </w:p>
    <w:p>
      <w:pPr>
        <w:spacing w:after="100"/>
      </w:pPr>
      <w:r>
        <w:rPr>
          <w:rFonts w:ascii="Arial" w:hAnsi="Arial" w:eastAsia="Arial" w:cs="Arial"/>
          <w:color w:val="1a1a1a"/>
          <w:sz w:val="22"/>
          <w:szCs w:val="22"/>
        </w:rPr>
        <w:t xml:space="preserve">Das folgende Modell beschreibt die zentralen Entitäten und ihre Beziehungen. Die konkrete technische Umsetzung (Datenbankschema, ORM, etc.) obliegt dem Auftragnehmer. Das TypeScript-Interface ist verbindlich für die Backup-Kompatibilität.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w="22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Entität</w:t>
            </w:r>
          </w:p>
        </w:tc>
        <w:tc>
          <w:tcPr>
            <w:tcW w:w="24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44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Schlüsselattribute</w:t>
            </w:r>
          </w:p>
        </w:tc>
      </w:tr>
      <w:tr>
        <w:tc>
          <w:tcPr>
            <w:tcW w:w="2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Mitarbeiter</w:t>
            </w:r>
          </w:p>
        </w:tc>
        <w:tc>
          <w:tcPr>
            <w:tcW w:w="2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Stammdaten einer Person</w:t>
            </w:r>
          </w:p>
        </w:tc>
        <w:tc>
          <w:tcPr>
            <w:tcW w:w="4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Vorname, Name, Team, Typ (intern/extern), FTE (0.0–1.0), Kapazitätsprozent, Betriebsprozent, Pauschalprozent, SP/Tag, Buchungen (Record&lt;Datum, Buchungstyp&gt;)</w:t>
            </w:r>
          </w:p>
        </w:tc>
      </w:tr>
      <w:tr>
        <w:tc>
          <w:tcPr>
            <w:tcW w:w="2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Buchungstyp</w:t>
            </w:r>
          </w:p>
        </w:tc>
        <w:tc>
          <w:tcPr>
            <w:tcW w:w="2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Kategorie der Absenz</w:t>
            </w:r>
          </w:p>
        </w:tc>
        <w:tc>
          <w:tcPr>
            <w:tcW w:w="4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Enum: NONE | FERIEN | ABWESEND | TEILZEIT | MILITAER | IPA | BETRIEB | BETRIEB_PIKETT | PIKETT</w:t>
            </w:r>
          </w:p>
        </w:tc>
      </w:tr>
      <w:tr>
        <w:tc>
          <w:tcPr>
            <w:tcW w:w="2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PI-Planung</w:t>
            </w:r>
          </w:p>
        </w:tc>
        <w:tc>
          <w:tcPr>
            <w:tcW w:w="2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Program Increment Zeitrahmen</w:t>
            </w:r>
          </w:p>
        </w:tc>
        <w:tc>
          <w:tcPr>
            <w:tcW w:w="4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id, Name (z.B. PI26-1), Startdatum (YYYY-MM-DD), Enddatum, Iterationen[]</w:t>
            </w:r>
          </w:p>
        </w:tc>
      </w:tr>
      <w:tr>
        <w:tc>
          <w:tcPr>
            <w:tcW w:w="2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Iteration</w:t>
            </w:r>
          </w:p>
        </w:tc>
        <w:tc>
          <w:tcPr>
            <w:tcW w:w="2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Sprint innerhalb eines PI</w:t>
            </w:r>
          </w:p>
        </w:tc>
        <w:tc>
          <w:tcPr>
            <w:tcW w:w="4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id, Name, Startdatum, Enddatum (muss innerhalb PI liegen)</w:t>
            </w:r>
          </w:p>
        </w:tc>
      </w:tr>
      <w:tr>
        <w:tc>
          <w:tcPr>
            <w:tcW w:w="2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Feiertag</w:t>
            </w:r>
          </w:p>
        </w:tc>
        <w:tc>
          <w:tcPr>
            <w:tcW w:w="2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Gesetzlicher Feiertag</w:t>
            </w:r>
          </w:p>
        </w:tc>
        <w:tc>
          <w:tcPr>
            <w:tcW w:w="4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id, Name, Startdatum, Enddatum</w:t>
            </w:r>
          </w:p>
        </w:tc>
      </w:tr>
      <w:tr>
        <w:tc>
          <w:tcPr>
            <w:tcW w:w="2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Schulferien</w:t>
            </w:r>
          </w:p>
        </w:tc>
        <w:tc>
          <w:tcPr>
            <w:tcW w:w="2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Schulferienperiode (nur visuell)</w:t>
            </w:r>
          </w:p>
        </w:tc>
        <w:tc>
          <w:tcPr>
            <w:tcW w:w="4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id, Name, Startdatum, Enddatum</w:t>
            </w:r>
          </w:p>
        </w:tc>
      </w:tr>
      <w:tr>
        <w:tc>
          <w:tcPr>
            <w:tcW w:w="2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Blocker</w:t>
            </w:r>
          </w:p>
        </w:tc>
        <w:tc>
          <w:tcPr>
            <w:tcW w:w="2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Change-Freeze / Gesperrter Zeitraum</w:t>
            </w:r>
          </w:p>
        </w:tc>
        <w:tc>
          <w:tcPr>
            <w:tcW w:w="4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id, Name, Startdatum, Enddatum (kein SP-Abzug – ADR-003)</w:t>
            </w:r>
          </w:p>
        </w:tc>
      </w:tr>
      <w:tr>
        <w:tc>
          <w:tcPr>
            <w:tcW w:w="2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TeamConfig</w:t>
            </w:r>
          </w:p>
        </w:tc>
        <w:tc>
          <w:tcPr>
            <w:tcW w:w="2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Team-spezifische Mindestbesetzung</w:t>
            </w:r>
          </w:p>
        </w:tc>
        <w:tc>
          <w:tcPr>
            <w:tcW w:w="4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teamName, minPikett (täglich inkl. WE), minBetrieb (Arbeitstage)</w:t>
            </w:r>
          </w:p>
        </w:tc>
      </w:tr>
      <w:tr>
        <w:tc>
          <w:tcPr>
            <w:tcW w:w="2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PITeamTarget</w:t>
            </w:r>
          </w:p>
        </w:tc>
        <w:tc>
          <w:tcPr>
            <w:tcW w:w="2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Soll-SP aus Jira pro PI und Team</w:t>
            </w:r>
          </w:p>
        </w:tc>
        <w:tc>
          <w:tcPr>
            <w:tcW w:w="4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piId, teamName, spJira (manuell editierbar)</w:t>
            </w:r>
          </w:p>
        </w:tc>
      </w:tr>
      <w:tr>
        <w:tc>
          <w:tcPr>
            <w:tcW w:w="2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GlobalConfig</w:t>
            </w:r>
          </w:p>
        </w:tc>
        <w:tc>
          <w:tcPr>
            <w:tcW w:w="2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Systemweite Parameter</w:t>
            </w:r>
          </w:p>
        </w:tc>
        <w:tc>
          <w:tcPr>
            <w:tcW w:w="4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spPerDay (Standard: 1), hoursPerYear (Standard: 1600)</w:t>
            </w:r>
          </w:p>
        </w:tc>
      </w:tr>
      <w:tr>
        <w:tc>
          <w:tcPr>
            <w:tcW w:w="2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FarbConfig</w:t>
            </w:r>
          </w:p>
        </w:tc>
        <w:tc>
          <w:tcPr>
            <w:tcW w:w="2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Anpassbare Buchungstyp-Farben</w:t>
            </w:r>
          </w:p>
        </w:tc>
        <w:tc>
          <w:tcPr>
            <w:tcW w:w="44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Record&lt;Buchungstyp, {bg: hex, text: hex}&gt; + Kalenderfarben</w:t>
            </w:r>
          </w:p>
        </w:tc>
      </w:tr>
      <w:tr>
        <w:tc>
          <w:tcPr>
            <w:tcW w:w="2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Train (Mandant)</w:t>
            </w:r>
          </w:p>
        </w:tc>
        <w:tc>
          <w:tcPr>
            <w:tcW w:w="2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Isolierter Agile Release Train</w:t>
            </w:r>
          </w:p>
        </w:tc>
        <w:tc>
          <w:tcPr>
            <w:tcW w:w="44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id (kebab-case), Name, createdAt, adminCodeHash (bcrypt)</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d97706" w:sz="4"/>
              <w:left w:val="single" w:color="d97706" w:sz="20"/>
              <w:bottom w:val="single" w:color="d97706" w:sz="4"/>
              <w:right w:val="single" w:color="d97706" w:sz="4"/>
            </w:tcBorders>
            <w:shd w:val="clear" w:fill="fef9c3"/>
            <w:tcMar>
              <w:left w:w="160" w:type="dxa"/>
              <w:top w:w="100" w:type="dxa"/>
              <w:right w:w="160" w:type="dxa"/>
              <w:bottom w:w="100" w:type="dxa"/>
            </w:tcMar>
          </w:tcPr>
          <w:p>
            <w:r>
              <w:rPr>
                <w:rFonts w:ascii="Arial" w:hAnsi="Arial" w:eastAsia="Arial" w:cs="Arial"/>
                <w:color w:val="1a1a1a"/>
                <w:sz w:val="20"/>
                <w:szCs w:val="20"/>
              </w:rPr>
              <w:t xml:space="preserve">Kritische Regel: Die schemaVersion muss bei jeder Änderung am AppData-Interface erhöht werden. Alte Backups müssen via Migrations-Funktionen geladen werden können. Backups ohne schemaVersion werden als Version 1.0 behandelt.</w:t>
            </w:r>
          </w:p>
        </w:tc>
      </w:tr>
    </w:tbl>
    <w:p>
      <w:pPr>
        <w:pStyle w:val="Heading1"/>
        <w:pageBreakBefore w:val="true"/>
      </w:pPr>
      <w:r>
        <w:rPr>
          <w:rFonts w:ascii="Arial" w:hAnsi="Arial" w:eastAsia="Arial" w:cs="Arial"/>
          <w:b/>
          <w:bCs/>
          <w:color w:val="003f7f"/>
          <w:sz w:val="40"/>
          <w:szCs w:val="40"/>
        </w:rPr>
        <w:t xml:space="preserve">7. Funktionale Anforderungen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Prioritäten: MUSS = zwingend für Abnahme  |  SOLL = erwartet, Abweichung begründungspflichtig  |  KANN = optional</w:t>
            </w:r>
          </w:p>
        </w:tc>
      </w:tr>
    </w:tbl>
    <w:p/>
    <w:p>
      <w:pPr>
        <w:pStyle w:val="Heading2"/>
      </w:pPr>
      <w:r>
        <w:rPr>
          <w:rFonts w:ascii="Arial" w:hAnsi="Arial" w:eastAsia="Arial" w:cs="Arial"/>
          <w:b/>
          <w:bCs/>
          <w:color w:val="003f7f"/>
          <w:sz w:val="28"/>
          <w:szCs w:val="28"/>
        </w:rPr>
        <w:t xml:space="preserve">7.1 Navigation und Grundstruktur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F-01.1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Navigations-Tabs</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Die Anwendung verfügt über folgende Hauptbereiche via Tab-Navigation: Planung, Kapazität, Dashboard, PI Dashboard, Einstellungen, Admin.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F-01.2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Train-Auswahl (Splash)</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Beim Start wird ein Auswahl-Bildschirm angezeigt, auf dem der Benutzer seinen Agile Release Train wählt. Die Auswahl wird in sessionStorage gecacht.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F-01.3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Aktiver Train im Header</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Name des aktiven Trains im Anwendungs-Header. Ein Wechsel-Button ermöglicht die Rückkehr zur Train-Auswahl.</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F-01.4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Verbindungsindikator</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Visueller Indikator im Header: verbunden (grün) / getrennt (rot).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F-01.5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Bundeslogo</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Offizielles Schweizer Bundeslogo (SVG, weiss auf transparent) im Anwendungs-Header.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F-01.6</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Durchgehende Filterleiste</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Filterleiste (Team, PI, Iteration, Zeitraum) in allen Tabs sichtbar, wirkt gleichzeitig auf Kalender, Kapazitäts-Tab und Dashboard.</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7.2 Mitarbeiterverwaltung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F-02.1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Mitarbeiter CRUD</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Vollständige CRUD-Operationen: Vorname, Name, Team, Typ (intern/extern), FTE (0.0–1.0), Kapazitätsprozent, Betriebsprozent, Pauschalprozent, SP/Tag.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F-02.2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CSV-Import</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Import (Semikolon, UTF-8 BOM). Formatfehler erkannt und gemeldet. Ungültige Zeilen werden mit Warnung importiert, nicht abgebrochen.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F-02.3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CSV-Export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Mitarbeiterstammdaten als CSV exportierbar.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F-02.4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Validierung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Betriebsprozent + Pauschalprozent ≤ Kapazitätsprozent. Ungültige Einträge markiert und gemeldet.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F-02.5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Filter und Suche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Filterfunktion nach Team, Typ (intern/extern) und Freitext. CSV-Export und "Alle löschen" operieren immer auf dem vollständigen Datensatz.</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bl>
    <w:p>
      <w:pPr>
        <w:pStyle w:val="Heading2"/>
      </w:pPr>
      <w:r>
        <w:rPr>
          <w:rFonts w:ascii="Arial" w:hAnsi="Arial" w:eastAsia="Arial" w:cs="Arial"/>
          <w:b/>
          <w:bCs/>
          <w:color w:val="003f7f"/>
          <w:sz w:val="28"/>
          <w:szCs w:val="28"/>
        </w:rPr>
        <w:t xml:space="preserve">7.3 PI-Planung und Iterationen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F-03.1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PI-Planung CRUD</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Verwaltung von PI-Planungen mit Name, Startdatum, Enddatum. Iterationen pro PI einzeln verwaltbar.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F-03.2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Iterationen pro PI</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Iterationen mit Name, Startdatum, Enddatum. Müssen innerhalb des PI-Zeitraums liegen.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F-03.3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CSV-Import/-Export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PI-Planungen als CSV importier- und exportierbar. Bei Import ohne Iterationen: optionale gleichmässige Aufteilung in 4 Iterationen.</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F-03.4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Validierung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Überlappende Iterationen innerhalb eines PI werden abgelehnt. Datumsformat: YYYY-MM-DD (ISO 8601).</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7.4 Kalender-Ereignisse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F-04.1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Gesetzliche Feiertage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CRUD + CSV-Import/-Export. Feiertage zählen nicht als Arbeitstage (kein SP).</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F-04.2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Schulferienperioden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CRUD + CSV-Import/-Export. Nur visuelle Markierung, kein SP-Abzug.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F-04.3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Blocker / Change-Freeze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CRUD + CSV-Import/-Export. Darstellung mit Schneeflocken-Symbol (❄). Kein SP-Abzug (ADR-003).</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7.5 Kalender-Ansicht und Absenzbuchung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F-05.1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Kalender-Grid</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Zeilen = Mitarbeiter, Spalten = Tage. Header-Zeilen: Monat, Kalenderwoche, PI-Name, Iterations-Name, Tagesdatum + Wochentag.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F-05.2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Drag-Buchung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Absenzen via Maus-Drag über mehrere Tage (Interpolation). Einzelklick bucht einen Tag. Klick auf belegte Zelle löscht Buchung.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F-05.3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Buchungstypen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Alle 8 Buchungstypen mit Standardfarben (konfigurierbar). Buchstaben-Kürzel in Zellen: F/A/T/M/I/B/BP/P. Wochenenden nur mit PIKETT oder BETRIEB_PIKETT buchbar.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F-05.4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Sticky Header/Spalten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Mitarbeiter-Spalte links beim horizontalen Scrollen fixiert. Header-Zeilen beim vertikalen Scrollen fixiert.</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F-05.5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Legende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Farbcode-Legende unterhalb des Kalenders. Aktiv gewählter Buchungstyp hervorgehoben.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F-05.6</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Row-Locking (Multiuser)</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Während Drag-Buchung: Zeile für andere Benutzer visuell gesperrt. Automatische Aufhebung nach 30 Sekunden.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7.6 Story-Point-Berechnung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Berechnungslogik (verbindlich – Pure Functions): Für jeden Arbeitstag im Zeitraum (kein WE, kein Feiertag): sp_tag = NONE→spPerDay | TEILZEIT→0.5×spPerDay | alle anderen→0. sp_netto = sp_tag × fte × (1−betriebPercent/100) × (1−pauschalPercent/100). Blocker-Tage zählen als normale Arbeitstage.</w:t>
            </w:r>
          </w:p>
        </w:tc>
      </w:tr>
    </w:tbl>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F-06.1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SP pro Mitarbeiter</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Berechnung verfügbarer SP pro Mitarbeiter für beliebigen Zeitraum gemäss Berechnungsformel.</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F-06.2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Team-Aggregation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SP pro Team und Iteration aggregiert. Kapazitäts-Tab: Tabelle Mitarbeiter | Team | Arbeitstage | Absenztage | SP verfügbar.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F-06.3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PI-Aggregation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SP über alle Iterationen eines PI summiert.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F-06.4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Globale Parameter</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SP/Tag (Default: 1) und Stunden/Jahr (Default: 1600) in Einstellungen konfigurierbar, wirken sofort auf alle Berechnungen.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F-06.5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Lücken-Erkennung</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Betrieb-Lücken (Arbeitstage, minBetrieb) und Pikett-Lücken (alle Tage, minPikett) pro Team erkannt und gemeldet (ADR-005).</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7.7 Dashboard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F-07.1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KPI-Karten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Kennzahlen: Gesamtkapazität (SP), Anzahl Mitarbeiter, Anzahl Pikett-Lücken, Anzahl Betrieb-Lücken.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F-07.2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Balkendiagramm</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Verfügbare SP pro Team pro Iteration als BarChart. Tooltip bei Hover. Teamfarben konsistent mit Kalender-Legende.</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F-07.3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Absenz-Übersichtstabelle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Tabellarische Übersicht aller Absenzen pro Mitarbeiter und Buchungstyp für den gewählten Zeitraum.</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F-07.4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Lücken-Anzeige</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Pikett- und Betrieb-Lücken als kompakte Liste mit KW und Anzahl betroffener Tage. Keine Lücken → grünes Checkmark.</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7.8 PI Dashboard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F-08.1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SP-Vergleich</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Pro PI, Team und Iteration: geplante SP (Jira, manuell) vs. berechnete SP. Spalten: Betriebstage | SP Jira | Berechnet SP | Verfügbar SP Netto | Auslastung %.</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F-08.2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Manuelle Jira-SP Eingabe</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Inline-Edit via Klick. Enter/Blur speichert, Escape bricht ab. Werte server-seitig in AppData.piTeamTargets gespeichert (nicht localStorage).</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F-08.3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Farbkodierung Auslastung</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&lt; 85%: grün | 85–100%: orange | &gt; 100%: rot. Gilt für Iterations-Zeilen und PI-Total-Zeile.</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F-08.4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Export PDF/PNG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PI Dashboard als PDF und PNG exportierbar (inkl. Bundeslogo-Header).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7.9 Export-Funktionen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F-09.1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Dashboard-Export PDF/PNG</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Dashboard-Ansicht als PDF (jsPDF + html2canvas) und PNG exportierbar. Bundeslogo im Header. Dateiname: safe-pi-planner_YYYY-MM-DD.pdf</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F-09.2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PI Dashboard Export</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PI Dashboard als PDF und PNG exportierbar.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F-09.3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Dokumentation Download</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Benutzerdokumentation direkt aus der Anwendung als .docx herunterladbar.</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bl>
    <w:p>
      <w:pPr>
        <w:pStyle w:val="Heading2"/>
      </w:pPr>
      <w:r>
        <w:rPr>
          <w:rFonts w:ascii="Arial" w:hAnsi="Arial" w:eastAsia="Arial" w:cs="Arial"/>
          <w:b/>
          <w:bCs/>
          <w:color w:val="003f7f"/>
          <w:sz w:val="28"/>
          <w:szCs w:val="28"/>
        </w:rPr>
        <w:t xml:space="preserve">7.10 Einstellungen und Konfiguration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F-10.1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Team-Konfiguration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Pro Team: minBetrieb (Personen an Arbeitstagen), minPikett (Personen täglich inkl. WE). Teamnamen automatisch aus Mitarbeiterstamm abgeleitet.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F-10.2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Globale Parameter</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SP/Tag und Stunden/Jahr konfigurierbar mit Sofortauswirkung auf alle SP-Berechnungen.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F-10.3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Team-Zielwerte CSV</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Team-Konfiguration als CSV exportier- und importierbar (Semikolon-getrennt).</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F-10.4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Buchungstyp-Farben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Farben aller Buchungstypen und Kalenderelemente via Color-Picker anpassbar. Reset auf Standardwerte möglich.</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F-10.5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Navigierbare Abschnitte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Einstellungsseite mit Sidebar-Navigation: Klick → smooth scroll zur Sektion.</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bl>
    <w:p>
      <w:pPr>
        <w:pStyle w:val="Heading2"/>
      </w:pPr>
      <w:r>
        <w:rPr>
          <w:rFonts w:ascii="Arial" w:hAnsi="Arial" w:eastAsia="Arial" w:cs="Arial"/>
          <w:b/>
          <w:bCs/>
          <w:color w:val="003f7f"/>
          <w:sz w:val="28"/>
          <w:szCs w:val="28"/>
        </w:rPr>
        <w:t xml:space="preserve">7.11 Backup und Restore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F-11.1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Vollständiger JSON-Export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Kompletter AppData-State als JSON-Datei (inkl. Mitarbeiter, Buchungen, PIs, Feiertage, Konfigurationen, Jira-SP-Werte). Dateiname mit Zeitstempel.</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F-11.2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Vollständiger JSON-Import</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Backup vollständig wiederherstellbar. Broadcast via Socket.io state:full an alle verbundenen Clients. Alles-oder-nichts – kein partieller Import.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F-11.3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Schema-Versionierung</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Backup enthält schemaVersion. System migriert ältere Versionen (fehlende Felder → Defaults). Keine Breaking Changes ohne Migration.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7.12 Mehrbenutzer-Unterstützung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F-12.1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Echtzeit-Synchronisation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Änderungen werden ohne Seiten-Reload in Echtzeit an alle Benutzer des gleichen Trains übertragen.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F-12.2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Row-Locking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Während Drag-Buchung: Zeile für andere Benutzer visuell gesperrt. Automatische Aufhebung nach 30 Sekunden.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F-12.3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Verbindungsstatus</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Visueller Indikator im Header (grün/rot). Automatisches Reconnect.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7.13 Mandantenfähigkeit (Multi-Train)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F-13.1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Mehrere Trains</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Das System unterstützt mehrere vollständig isolierte Agile Release Trains.</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F-13.2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Datenisolation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Alle Daten strikt pro Train isoliert. Kein Zugriff auf Daten anderer Trains.</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F-13.3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Train-Auswahl</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TenantGate: Splash-Screen beim App-Start. Auswahl in sessionStorage. Header zeigt aktiven Train + Wechsel-Button.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F-13.4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Train-ID Format</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Train-IDs: lowercase alphanumerisch + Bindestrich, 2–20 Zeichen (Regex: /^[a-z0-9-]{2,20}$/).</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7.14 Admin-Bereich</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F-14.1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Code-Schutz</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Admin-Bereich geschützt durch 6-stelligen Code. OTP-Style Eingabe (6 einzelne Felder). Code-Cache: 15 Minuten in sessionStorage.</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F-14.2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Rate-Limiting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Nach 3 Fehlversuchen: 60 Sekunden Sperre. Server-seitig durchgesetzt – nicht via Client-Logik aushebelbar.</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F-14.3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Train-CRUD</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Trains erstellen (Name + Admin-Code), umbenennen, löschen (mit Datenverlust-Warnung).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F-14.4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Daten-Reset</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Alle Daten eines Trains zurücksetzen (Bestätigung: Eingabe "LÖSCHEN" + Admin-Code). State:full-Broadcast nach Reset.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F-14.5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Admin-Code ändern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Admin-Code änderbar (alter Code + neuer Code 2× zur Verifikation).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7.15 Corporate Design Bund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F-15.1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Bundesblau Primärfarbe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Primärfarbe: Bundesblau #003F7F gemäss CD Bund Manual. Alle Buttons, Header, aktive Tabs.</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F-15.2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Bundesrot Akzentfarbe</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Akzentfarbe: Bundesrot #E63312 für Warnungen und Heute-Markierung.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F-15.3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Schriftart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Frutiger als Primärschrift (auf BIT-Geräten systemseitig installiert). Fallback: NotoSans (selbst-gehostet), Arial. Keine externen Font-CDNs.</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F-15.4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Bundeslogo</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SVG-Logo (weiss auf transparent) im Header und in allen Exporten.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F-15.5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Swiss Design System</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Farbdefinitionen via CSS Custom Properties (--color-primary-*, --color-secondary-*) gemäss Swiss DS Architektur.</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bl>
    <w:p>
      <w:pPr>
        <w:pStyle w:val="Heading1"/>
        <w:pageBreakBefore w:val="true"/>
      </w:pPr>
      <w:r>
        <w:rPr>
          <w:rFonts w:ascii="Arial" w:hAnsi="Arial" w:eastAsia="Arial" w:cs="Arial"/>
          <w:b/>
          <w:bCs/>
          <w:color w:val="003f7f"/>
          <w:sz w:val="40"/>
          <w:szCs w:val="40"/>
        </w:rPr>
        <w:t xml:space="preserve">8. Nicht-funktionale Anforderungen</w:t>
      </w:r>
    </w:p>
    <w:p>
      <w:pPr>
        <w:pStyle w:val="Heading2"/>
      </w:pPr>
      <w:r>
        <w:rPr>
          <w:rFonts w:ascii="Arial" w:hAnsi="Arial" w:eastAsia="Arial" w:cs="Arial"/>
          <w:b/>
          <w:bCs/>
          <w:color w:val="003f7f"/>
          <w:sz w:val="28"/>
          <w:szCs w:val="28"/>
        </w:rPr>
        <w:t xml:space="preserve">8.1 Performance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NFR-P1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Ladezeit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Vollständig geladen und bedienbar bei ≥ 10 Mbit/s in unter 3 Sekunden.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NFR-P2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Drag-Reaktionszeit</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Drag-Buchungen reagieren mit &lt; 100 ms lokal. Nach Echtzeit-Sync: &lt; 300 ms.</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NFR-P3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Echtzeit-Sync-Latenz</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Änderungen innerhalb 500 ms an alle verbundenen Benutzer übertragen.</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NFR-P4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Gleichzeitige Benutzer</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Ausgelegt für bis zu 20 gleichzeitig aktive Benutzer pro Train.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NFR-P5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Kalender-Skalierung</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Kalender-Grid mit bis zu 30 Mitarbeitern und 90 Tagen (2700 Zellen) ohne spürbare Verzögerung renderbar.</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bl>
    <w:p>
      <w:pPr>
        <w:pStyle w:val="Heading2"/>
      </w:pPr>
      <w:r>
        <w:rPr>
          <w:rFonts w:ascii="Arial" w:hAnsi="Arial" w:eastAsia="Arial" w:cs="Arial"/>
          <w:b/>
          <w:bCs/>
          <w:color w:val="003f7f"/>
          <w:sz w:val="28"/>
          <w:szCs w:val="28"/>
        </w:rPr>
        <w:t xml:space="preserve">8.2 Browser-Kompatibilität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NFR-B1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Unterstützte Browser</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Korrekte Funktionsweise in aktuellen Versionen von: Chrome, Firefox, Edge, Safari.</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NFR-B2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Desktop-Optimierung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Optimiert für Desktops ≥ 1280px Breite. Mobile-Unterstützung nicht erforderlich.</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8.3 Datenschutz und Datensicherheit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NFR-S1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Keine externen Ressourcen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Keine Ressourcen von externen Diensten im Browser (keine CDN-Fonts, kein Analytics, kein Tracking).</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NFR-S2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HTTPS</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Ausschliesslich HTTPS-Betrieb.</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NFR-S3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Kein LocalStorage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Geschäftsdaten server-seitig. LocalStorage nur für UI-Präferenzen erlaubt.</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NFR-S4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Infrastruktur</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Serverinfrastruktur in der Schweiz oder EU/EWR mit angemessenem Datenschutzniveau.</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NFR-S5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Admin-Code Sicherheit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Admin-Codes als bcrypt-Hash gespeichert. Rate-Limiting: 3 Versuche → 60s Sperre.</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2"/>
      </w:pPr>
      <w:r>
        <w:rPr>
          <w:rFonts w:ascii="Arial" w:hAnsi="Arial" w:eastAsia="Arial" w:cs="Arial"/>
          <w:b/>
          <w:bCs/>
          <w:color w:val="003f7f"/>
          <w:sz w:val="28"/>
          <w:szCs w:val="28"/>
        </w:rPr>
        <w:t xml:space="preserve">8.4 Verfügbarkeit und Wartbarkeit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326"/>
        <w:gridCol w:w="8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Titel</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NFR-V1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Verfügbarkeit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Ziel-Verfügbarkeit ≥ 99% (monatlich, geplante Wartungsfenster ausgenommen).</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NFR-V2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Backup-Notfallmassnahme</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JSON-Backup/-Restore ermöglicht vollständige Datenwiederherstellung ohne direkten Server-Zugriff.</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NFR-V3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TypeScript ohne any</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Vollständige TypeScript-Typisierung. Kein any-Typ im Produktionscode.</w:t>
            </w:r>
          </w:p>
        </w:tc>
        <w:tc>
          <w:tcPr>
            <w:tcW w:w="800" w:type="dxa"/>
            <w:tcBorders>
              <w:top w:val="single" w:color="d5d5d5" w:sz="4"/>
              <w:left w:val="single" w:color="d5d5d5" w:sz="4"/>
              <w:bottom w:val="single" w:color="d5d5d5" w:sz="4"/>
              <w:right w:val="single" w:color="d5d5d5" w:sz="4"/>
            </w:tcBorders>
            <w:shd w:val="clear" w:fill="fef9c3"/>
            <w:tcMar>
              <w:left w:w="120" w:type="dxa"/>
              <w:top w:w="80" w:type="dxa"/>
              <w:right w:w="120" w:type="dxa"/>
              <w:bottom w:w="80" w:type="dxa"/>
            </w:tcMar>
          </w:tcPr>
          <w:p>
            <w:pPr>
              <w:jc w:val="center"/>
            </w:pPr>
            <w:r>
              <w:rPr>
                <w:rFonts w:ascii="Arial" w:hAnsi="Arial" w:eastAsia="Arial" w:cs="Arial"/>
                <w:b/>
                <w:bCs/>
                <w:color w:val="854d0e"/>
                <w:sz w:val="18"/>
                <w:szCs w:val="18"/>
              </w:rPr>
              <w:t xml:space="preserve">SOLL</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NFR-V4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Technische Dokumentation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Lieferumfang: Installationshandbuch und Benutzerdokumentation.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r>
        <w:tc>
          <w:tcPr>
            <w:tcW w:w="900" w:type="dxa"/>
            <w:tcBorders>
              <w:top w:val="single" w:color="d5d5d5" w:sz="4"/>
              <w:left w:val="single" w:color="d5d5d5" w:sz="4"/>
              <w:bottom w:val="single" w:color="d5d5d5" w:sz="4"/>
              <w:right w:val="single" w:color="d5d5d5" w:sz="4"/>
            </w:tcBorders>
            <w:shd w:val="clear" w:fill="e8eff7"/>
            <w:tcMar>
              <w:left w:w="120" w:type="dxa"/>
              <w:top w:w="80" w:type="dxa"/>
              <w:right w:w="120" w:type="dxa"/>
              <w:bottom w:w="80" w:type="dxa"/>
            </w:tcMar>
          </w:tcPr>
          <w:p>
            <w:r>
              <w:rPr>
                <w:rFonts w:ascii="Arial" w:hAnsi="Arial" w:eastAsia="Arial" w:cs="Arial"/>
                <w:b/>
                <w:bCs/>
                <w:color w:val="003f7f"/>
                <w:sz w:val="18"/>
                <w:szCs w:val="18"/>
              </w:rPr>
              <w:t xml:space="preserve">NFR-V5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Quellcode-Übergabe</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Vollständiger Quellcode wird übergeben. Kompilierbar ohne proprietäre Build-Umgebungen.</w:t>
            </w:r>
          </w:p>
        </w:tc>
        <w:tc>
          <w:tcPr>
            <w:tcW w:w="800" w:type="dxa"/>
            <w:tcBorders>
              <w:top w:val="single" w:color="d5d5d5" w:sz="4"/>
              <w:left w:val="single" w:color="d5d5d5" w:sz="4"/>
              <w:bottom w:val="single" w:color="d5d5d5" w:sz="4"/>
              <w:right w:val="single" w:color="d5d5d5" w:sz="4"/>
            </w:tcBorders>
            <w:shd w:val="clear" w:fill="fee2e2"/>
            <w:tcMar>
              <w:left w:w="120" w:type="dxa"/>
              <w:top w:w="80" w:type="dxa"/>
              <w:right w:w="120" w:type="dxa"/>
              <w:bottom w:w="80" w:type="dxa"/>
            </w:tcMar>
          </w:tcPr>
          <w:p>
            <w:pPr>
              <w:jc w:val="center"/>
            </w:pPr>
            <w:r>
              <w:rPr>
                <w:rFonts w:ascii="Arial" w:hAnsi="Arial" w:eastAsia="Arial" w:cs="Arial"/>
                <w:b/>
                <w:bCs/>
                <w:color w:val="991b1b"/>
                <w:sz w:val="18"/>
                <w:szCs w:val="18"/>
              </w:rPr>
              <w:t xml:space="preserve">MUSS</w:t>
            </w:r>
          </w:p>
        </w:tc>
      </w:tr>
    </w:tbl>
    <w:p>
      <w:pPr>
        <w:pStyle w:val="Heading1"/>
        <w:pageBreakBefore w:val="true"/>
      </w:pPr>
      <w:r>
        <w:rPr>
          <w:rFonts w:ascii="Arial" w:hAnsi="Arial" w:eastAsia="Arial" w:cs="Arial"/>
          <w:b/>
          <w:bCs/>
          <w:color w:val="003f7f"/>
          <w:sz w:val="40"/>
          <w:szCs w:val="40"/>
        </w:rPr>
        <w:t xml:space="preserve">9. Schnittstellen und API-Spezifikation</w:t>
      </w:r>
    </w:p>
    <w:p>
      <w:pPr>
        <w:spacing w:after="100"/>
      </w:pPr>
      <w:r>
        <w:rPr>
          <w:rFonts w:ascii="Arial" w:hAnsi="Arial" w:eastAsia="Arial" w:cs="Arial"/>
          <w:color w:val="1a1a1a"/>
          <w:sz w:val="22"/>
          <w:szCs w:val="22"/>
        </w:rPr>
        <w:t xml:space="preserve">Die folgenden Schnittstellen sind verbindlich für die Neuentwicklung. Der Auftragnehmer kann interne Details wählen, muss aber die definierten Endpunkte und Event-Namen einhalten.</w:t>
      </w:r>
    </w:p>
    <w:p>
      <w:pPr>
        <w:pStyle w:val="Heading2"/>
      </w:pPr>
      <w:r>
        <w:rPr>
          <w:rFonts w:ascii="Arial" w:hAnsi="Arial" w:eastAsia="Arial" w:cs="Arial"/>
          <w:b/>
          <w:bCs/>
          <w:color w:val="003f7f"/>
          <w:sz w:val="28"/>
          <w:szCs w:val="28"/>
        </w:rPr>
        <w:t xml:space="preserve">9.1 REST-API</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Alle Endpunkte liefern JSON. Fehler: {"error": "Beschreibung"} mit passendem HTTP-Statuscode.</w:t>
            </w:r>
          </w:p>
        </w:tc>
      </w:tr>
    </w:tbl>
    <w:p/>
    <w:p>
      <w:pPr>
        <w:pStyle w:val="Heading3"/>
      </w:pPr>
      <w:r>
        <w:rPr>
          <w:rFonts w:ascii="Arial" w:hAnsi="Arial" w:eastAsia="Arial" w:cs="Arial"/>
          <w:b/>
          <w:bCs/>
          <w:color w:val="1a1a1a"/>
          <w:sz w:val="24"/>
          <w:szCs w:val="24"/>
        </w:rPr>
        <w:t xml:space="preserve">Tenant-Management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26"/>
        <w:gridCol w:w="12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Methode</w:t>
            </w:r>
          </w:p>
        </w:tc>
        <w:tc>
          <w:tcPr>
            <w:tcW w:w="26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Endpunkt</w:t>
            </w:r>
          </w:p>
        </w:tc>
        <w:tc>
          <w:tcPr>
            <w:tcW w:w="4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12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Auth</w:t>
            </w:r>
          </w:p>
        </w:tc>
      </w:tr>
      <w:tr>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GET</w:t>
            </w:r>
          </w:p>
        </w:tc>
        <w:tc>
          <w:tcPr>
            <w:tcW w:w="2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/api/tenants</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Liste aller Trains (id, name, createdAt).</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r>
      <w:tr>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POST</w:t>
            </w:r>
          </w:p>
        </w:tc>
        <w:tc>
          <w:tcPr>
            <w:tcW w:w="2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/api/tenants</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Neuen Train anlegen. Body: {id, name, adminCode}. Validierung: id-Format, Code min. 6 Zeichen.</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Admin-Code</w:t>
            </w:r>
          </w:p>
        </w:tc>
      </w:tr>
      <w:tr>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GET</w:t>
            </w:r>
          </w:p>
        </w:tc>
        <w:tc>
          <w:tcPr>
            <w:tcW w:w="2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/api/tenants/:id</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Einzelnen Train lesen (Metadaten, kein State).</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r>
      <w:tr>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PATCH</w:t>
            </w:r>
          </w:p>
        </w:tc>
        <w:tc>
          <w:tcPr>
            <w:tcW w:w="2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/api/tenants/:id</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Train umbenennen oder Admin-Code ändern. Body: {adminCode, name?, newAdminCode?}.</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Admin-Code</w:t>
            </w:r>
          </w:p>
        </w:tc>
      </w:tr>
      <w:tr>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DELETE</w:t>
            </w:r>
          </w:p>
        </w:tc>
        <w:tc>
          <w:tcPr>
            <w:tcW w:w="2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/api/tenants/:id</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Train und alle Daten löschen. Body: {adminCode}. Broadcast tenant:deleted.</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Admin-Code</w:t>
            </w:r>
          </w:p>
        </w:tc>
      </w:tr>
      <w:tr>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POST</w:t>
            </w:r>
          </w:p>
        </w:tc>
        <w:tc>
          <w:tcPr>
            <w:tcW w:w="2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/api/tenants/:id/reset</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State des Trains auf leeren Initialzustand zurücksetzen. Body: {adminCode}. Broadcast state:full.</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Admin-Code</w:t>
            </w:r>
          </w:p>
        </w:tc>
      </w:tr>
      <w:tr>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POST</w:t>
            </w:r>
          </w:p>
        </w:tc>
        <w:tc>
          <w:tcPr>
            <w:tcW w:w="2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/api/tenants/:id/verify</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Admin-Code verifizieren. Body: {adminCode}. Response: {valid: bool}.</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r>
    </w:tbl>
    <w:p>
      <w:pPr>
        <w:pStyle w:val="Heading3"/>
      </w:pPr>
      <w:r>
        <w:rPr>
          <w:rFonts w:ascii="Arial" w:hAnsi="Arial" w:eastAsia="Arial" w:cs="Arial"/>
          <w:b/>
          <w:bCs/>
          <w:color w:val="1a1a1a"/>
          <w:sz w:val="24"/>
          <w:szCs w:val="24"/>
        </w:rPr>
        <w:t xml:space="preserve">State-Management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26"/>
        <w:gridCol w:w="1200"/>
      </w:tblGrid>
      <w:tr>
        <w:trPr>
          <w:tblHeader/>
        </w:trPr>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Methode</w:t>
            </w:r>
          </w:p>
        </w:tc>
        <w:tc>
          <w:tcPr>
            <w:tcW w:w="26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Endpunkt</w:t>
            </w:r>
          </w:p>
        </w:tc>
        <w:tc>
          <w:tcPr>
            <w:tcW w:w="4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12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Auth</w:t>
            </w:r>
          </w:p>
        </w:tc>
      </w:tr>
      <w:tr>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GET</w:t>
            </w:r>
          </w:p>
        </w:tc>
        <w:tc>
          <w:tcPr>
            <w:tcW w:w="2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/api/state?tenantId=X</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Vollständigen AppData-State laden (initialer Client-Load und Backup-Export).</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r>
      <w:tr>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POST</w:t>
            </w:r>
          </w:p>
        </w:tc>
        <w:tc>
          <w:tcPr>
            <w:tcW w:w="26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/api/state?tenantId=X</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Vollständigen State ersetzen (Backup-Restore). Body: BackupFile. Broadcast state:full nach Erfolg.</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r>
      <w:tr>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GET</w:t>
            </w:r>
          </w:p>
        </w:tc>
        <w:tc>
          <w:tcPr>
            <w:tcW w:w="26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/api/state</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Legacy-Endpunkt ohne tenantId → leitet auf Default-Tenant weiter (Rückwärtskompatibilität).</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r>
    </w:tbl>
    <w:p>
      <w:pPr>
        <w:pStyle w:val="Heading3"/>
      </w:pPr>
      <w:r>
        <w:rPr>
          <w:rFonts w:ascii="Arial" w:hAnsi="Arial" w:eastAsia="Arial" w:cs="Arial"/>
          <w:b/>
          <w:bCs/>
          <w:color w:val="1a1a1a"/>
          <w:sz w:val="24"/>
          <w:szCs w:val="24"/>
        </w:rPr>
        <w:t xml:space="preserve">HTTP-Statuscodes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w="15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Code</w:t>
            </w:r>
          </w:p>
        </w:tc>
        <w:tc>
          <w:tcPr>
            <w:tcW w:w="75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Bedeutung</w:t>
            </w:r>
          </w:p>
        </w:tc>
      </w:tr>
      <w:tr>
        <w:tc>
          <w:tcPr>
            <w:tcW w:w="1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200</w:t>
            </w:r>
          </w:p>
        </w:tc>
        <w:tc>
          <w:tcPr>
            <w:tcW w:w="7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Erfolg</w:t>
            </w:r>
          </w:p>
        </w:tc>
      </w:tr>
      <w:tr>
        <w:tc>
          <w:tcPr>
            <w:tcW w:w="1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400</w:t>
            </w:r>
          </w:p>
        </w:tc>
        <w:tc>
          <w:tcPr>
            <w:tcW w:w="7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Ungültige Eingabe (Validierungsfehler, fehlendes Pflichtfeld)</w:t>
            </w:r>
          </w:p>
        </w:tc>
      </w:tr>
      <w:tr>
        <w:tc>
          <w:tcPr>
            <w:tcW w:w="1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401</w:t>
            </w:r>
          </w:p>
        </w:tc>
        <w:tc>
          <w:tcPr>
            <w:tcW w:w="7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Falscher Admin-Code</w:t>
            </w:r>
          </w:p>
        </w:tc>
      </w:tr>
      <w:tr>
        <w:tc>
          <w:tcPr>
            <w:tcW w:w="1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404</w:t>
            </w:r>
          </w:p>
        </w:tc>
        <w:tc>
          <w:tcPr>
            <w:tcW w:w="7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Tenant nicht gefunden</w:t>
            </w:r>
          </w:p>
        </w:tc>
      </w:tr>
      <w:tr>
        <w:tc>
          <w:tcPr>
            <w:tcW w:w="1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429</w:t>
            </w:r>
          </w:p>
        </w:tc>
        <w:tc>
          <w:tcPr>
            <w:tcW w:w="7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Rate-Limit erreicht (3 Fehlversuche → 60s Sperre)</w:t>
            </w:r>
          </w:p>
        </w:tc>
      </w:tr>
      <w:tr>
        <w:tc>
          <w:tcPr>
            <w:tcW w:w="1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500</w:t>
            </w:r>
          </w:p>
        </w:tc>
        <w:tc>
          <w:tcPr>
            <w:tcW w:w="7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Interner Serverfehler</w:t>
            </w:r>
          </w:p>
        </w:tc>
      </w:tr>
    </w:tbl>
    <w:p>
      <w:pPr>
        <w:pStyle w:val="Heading2"/>
      </w:pPr>
      <w:r>
        <w:rPr>
          <w:rFonts w:ascii="Arial" w:hAnsi="Arial" w:eastAsia="Arial" w:cs="Arial"/>
          <w:b/>
          <w:bCs/>
          <w:color w:val="003f7f"/>
          <w:sz w:val="28"/>
          <w:szCs w:val="28"/>
        </w:rPr>
        <w:t xml:space="preserve">9.2 WebSocket-Events (Socket.io)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Alle Events sind auf den Tenant-Room tenant:{tenantId} beschränkt. Ein Client joined beim Verbindungsaufbau genau einen Room via tenant:join.</w:t>
            </w:r>
          </w:p>
        </w:tc>
      </w:tr>
    </w:tbl>
    <w:p/>
    <w:p>
      <w:pPr>
        <w:pStyle w:val="Heading3"/>
      </w:pPr>
      <w:r>
        <w:rPr>
          <w:rFonts w:ascii="Arial" w:hAnsi="Arial" w:eastAsia="Arial" w:cs="Arial"/>
          <w:b/>
          <w:bCs/>
          <w:color w:val="1a1a1a"/>
          <w:sz w:val="24"/>
          <w:szCs w:val="24"/>
        </w:rPr>
        <w:t xml:space="preserve">Client → Server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Event</w:t>
            </w:r>
          </w:p>
        </w:tc>
        <w:tc>
          <w:tcPr>
            <w:tcW w:w="35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Payload</w:t>
            </w:r>
          </w:p>
        </w:tc>
        <w:tc>
          <w:tcPr>
            <w:tcW w:w="35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tenant:join</w:t>
            </w:r>
          </w:p>
        </w:tc>
        <w:tc>
          <w:tcPr>
            <w:tcW w:w="3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 tenantId: string }</w:t>
            </w:r>
          </w:p>
        </w:tc>
        <w:tc>
          <w:tcPr>
            <w:tcW w:w="3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Client joingt den Tenant-Room. Server antwortet mit state:full.</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allocation:change</w:t>
            </w:r>
          </w:p>
        </w:tc>
        <w:tc>
          <w:tcPr>
            <w:tcW w:w="3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 employeeId, dateStr, allocationType }</w:t>
            </w:r>
          </w:p>
        </w:tc>
        <w:tc>
          <w:tcPr>
            <w:tcW w:w="3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Einzelne Buchungsänderung. Server patcht State, broadcastet an Room.</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settings:change</w:t>
            </w:r>
          </w:p>
        </w:tc>
        <w:tc>
          <w:tcPr>
            <w:tcW w:w="3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 type: "employees"|"pis"|"feiertage"|..., data: unknown }</w:t>
            </w:r>
          </w:p>
        </w:tc>
        <w:tc>
          <w:tcPr>
            <w:tcW w:w="3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Settings-Änderung beliebigen Typs. Server patcht State, broadcastet.</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lock:row</w:t>
            </w:r>
          </w:p>
        </w:tc>
        <w:tc>
          <w:tcPr>
            <w:tcW w:w="3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 employeeId: string, userName?: string }</w:t>
            </w:r>
          </w:p>
        </w:tc>
        <w:tc>
          <w:tcPr>
            <w:tcW w:w="3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Zeile für Drag-Buchung sperren.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unlock:row</w:t>
            </w:r>
          </w:p>
        </w:tc>
        <w:tc>
          <w:tcPr>
            <w:tcW w:w="3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 employeeId: string }</w:t>
            </w:r>
          </w:p>
        </w:tc>
        <w:tc>
          <w:tcPr>
            <w:tcW w:w="3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Zeilen-Sperre aufheben (nach Drag-Ende).</w:t>
            </w:r>
          </w:p>
        </w:tc>
      </w:tr>
    </w:tbl>
    <w:p>
      <w:pPr>
        <w:pStyle w:val="Heading3"/>
      </w:pPr>
      <w:r>
        <w:rPr>
          <w:rFonts w:ascii="Arial" w:hAnsi="Arial" w:eastAsia="Arial" w:cs="Arial"/>
          <w:b/>
          <w:bCs/>
          <w:color w:val="1a1a1a"/>
          <w:sz w:val="24"/>
          <w:szCs w:val="24"/>
        </w:rPr>
        <w:t xml:space="preserve">Server → Client (Broadcast an Room)</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Event</w:t>
            </w:r>
          </w:p>
        </w:tc>
        <w:tc>
          <w:tcPr>
            <w:tcW w:w="35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Payload</w:t>
            </w:r>
          </w:p>
        </w:tc>
        <w:tc>
          <w:tcPr>
            <w:tcW w:w="35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state:full</w:t>
            </w:r>
          </w:p>
        </w:tc>
        <w:tc>
          <w:tcPr>
            <w:tcW w:w="3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SavedProjectState</w:t>
            </w:r>
          </w:p>
        </w:tc>
        <w:tc>
          <w:tcPr>
            <w:tcW w:w="3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Vollständiger State – gesendet bei: Verbindungsaufbau, Backup-Restore, Train-Reset.</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allocation:change</w:t>
            </w:r>
          </w:p>
        </w:tc>
        <w:tc>
          <w:tcPr>
            <w:tcW w:w="3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 employeeId, dateStr, allocationType }</w:t>
            </w:r>
          </w:p>
        </w:tc>
        <w:tc>
          <w:tcPr>
            <w:tcW w:w="3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Buchungsänderung – broadcast an alle Clients ausser Sender.</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settings:change</w:t>
            </w:r>
          </w:p>
        </w:tc>
        <w:tc>
          <w:tcPr>
            <w:tcW w:w="3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 type, data }</w:t>
            </w:r>
          </w:p>
        </w:tc>
        <w:tc>
          <w:tcPr>
            <w:tcW w:w="3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Settings-Änderung – broadcast an alle Clients ausser Sender.</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lock:row</w:t>
            </w:r>
          </w:p>
        </w:tc>
        <w:tc>
          <w:tcPr>
            <w:tcW w:w="3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 employeeId, userName? }</w:t>
            </w:r>
          </w:p>
        </w:tc>
        <w:tc>
          <w:tcPr>
            <w:tcW w:w="3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Zeilen-Sperre – broadcast an alle Clients ausser Sender.</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unlock:row</w:t>
            </w:r>
          </w:p>
        </w:tc>
        <w:tc>
          <w:tcPr>
            <w:tcW w:w="3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 employeeId }</w:t>
            </w:r>
          </w:p>
        </w:tc>
        <w:tc>
          <w:tcPr>
            <w:tcW w:w="35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Zeilen-Freigabe – broadcast an alle Clients ausser Sender.</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tenant:deleted</w:t>
            </w:r>
          </w:p>
        </w:tc>
        <w:tc>
          <w:tcPr>
            <w:tcW w:w="3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 tenantId }</w:t>
            </w:r>
          </w:p>
        </w:tc>
        <w:tc>
          <w:tcPr>
            <w:tcW w:w="35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Train gelöscht – Clients kehren zur Train-Auswahl zurück.</w:t>
            </w:r>
          </w:p>
        </w:tc>
      </w:tr>
    </w:tbl>
    <w:p>
      <w:pPr>
        <w:pStyle w:val="Heading2"/>
      </w:pPr>
      <w:r>
        <w:rPr>
          <w:rFonts w:ascii="Arial" w:hAnsi="Arial" w:eastAsia="Arial" w:cs="Arial"/>
          <w:b/>
          <w:bCs/>
          <w:color w:val="003f7f"/>
          <w:sz w:val="28"/>
          <w:szCs w:val="28"/>
        </w:rPr>
        <w:t xml:space="preserve">9.3 Datei-Schnittstellen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900"/>
        <w:gridCol w:w="4526"/>
      </w:tblGrid>
      <w:tr>
        <w:trPr>
          <w:tblHeader/>
        </w:trPr>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Schnittstelle</w:t>
            </w:r>
          </w:p>
        </w:tc>
        <w:tc>
          <w:tcPr>
            <w:tcW w:w="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Format</w:t>
            </w:r>
          </w:p>
        </w:tc>
        <w:tc>
          <w:tcPr>
            <w:tcW w:w="1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Trennzeichen</w:t>
            </w:r>
          </w:p>
        </w:tc>
        <w:tc>
          <w:tcPr>
            <w:tcW w:w="9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Encoding</w:t>
            </w:r>
          </w:p>
        </w:tc>
        <w:tc>
          <w:tcPr>
            <w:tcW w:w="45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Header / Hinweis</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Mitarbeiter-CSV</w:t>
            </w:r>
          </w:p>
        </w:tc>
        <w:tc>
          <w:tcPr>
            <w:tcW w:w="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vorname;name;team;typ;fte;kapazitaetProzent;betriebProzent;pauschalProzent;spProTag</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PI-Planung-CSV</w:t>
            </w:r>
          </w:p>
        </w:tc>
        <w:tc>
          <w:tcPr>
            <w:tcW w:w="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name;startStr;endStr — Iterationen separat oder via Auto-Split</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Feiertage-CSV</w:t>
            </w:r>
          </w:p>
        </w:tc>
        <w:tc>
          <w:tcPr>
            <w:tcW w:w="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name;startStr;endStr — Datumsformat: YYYY-MM-DD</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Schulferien-CSV</w:t>
            </w:r>
          </w:p>
        </w:tc>
        <w:tc>
          <w:tcPr>
            <w:tcW w:w="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name;startStr;endStr</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Blocker-CSV</w:t>
            </w:r>
          </w:p>
        </w:tc>
        <w:tc>
          <w:tcPr>
            <w:tcW w:w="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name;startStr;endStr</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Team-Config-CSV</w:t>
            </w:r>
          </w:p>
        </w:tc>
        <w:tc>
          <w:tcPr>
            <w:tcW w:w="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teamName;minPikett;minBetrieb</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Farb-Config-CSV</w:t>
            </w:r>
          </w:p>
        </w:tc>
        <w:tc>
          <w:tcPr>
            <w:tcW w:w="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CSV</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UTF-8 BOM</w:t>
            </w:r>
          </w:p>
        </w:tc>
        <w:tc>
          <w:tcPr>
            <w:tcW w:w="4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Buchungstyp-Farbkonfiguration (bg-Hex, text-Hex pro Typ)</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JSON-Backup</w:t>
            </w:r>
          </w:p>
        </w:tc>
        <w:tc>
          <w:tcPr>
            <w:tcW w:w="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JSON</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UTF-8</w:t>
            </w:r>
          </w:p>
        </w:tc>
        <w:tc>
          <w:tcPr>
            <w:tcW w:w="4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Schema: BackupFile — Dateiname: backup_{tenantId}_YYYY-MM-DD.json</w:t>
            </w:r>
          </w:p>
        </w:tc>
      </w:tr>
      <w:tr>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PDF-Export</w:t>
            </w:r>
          </w:p>
        </w:tc>
        <w:tc>
          <w:tcPr>
            <w:tcW w:w="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PDF (A4)</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45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Bundeslogo-Header, weisser Hintergrund, Scale 2x — Dateiname: safe-pi-planner_YYYY-MM-DD.pdf</w:t>
            </w:r>
          </w:p>
        </w:tc>
      </w:tr>
      <w:tr>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PNG-Export</w:t>
            </w:r>
          </w:p>
        </w:tc>
        <w:tc>
          <w:tcPr>
            <w:tcW w:w="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PNG</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9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45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2x-Auflösung für Confluence — Dateiname: safe-pi-planner_YYYY-MM-DD.png</w:t>
            </w:r>
          </w:p>
        </w:tc>
      </w:tr>
    </w:tbl>
    <w:p>
      <w:pPr>
        <w:pStyle w:val="Heading1"/>
        <w:pageBreakBefore w:val="true"/>
      </w:pPr>
      <w:r>
        <w:rPr>
          <w:rFonts w:ascii="Arial" w:hAnsi="Arial" w:eastAsia="Arial" w:cs="Arial"/>
          <w:b/>
          <w:bCs/>
          <w:color w:val="003f7f"/>
          <w:sz w:val="40"/>
          <w:szCs w:val="40"/>
        </w:rPr>
        <w:t xml:space="preserve">10. Buchungstypen und Geschäftsregeln</w:t>
      </w:r>
    </w:p>
    <w:p>
      <w:pPr>
        <w:pStyle w:val="Heading2"/>
      </w:pPr>
      <w:r>
        <w:rPr>
          <w:rFonts w:ascii="Arial" w:hAnsi="Arial" w:eastAsia="Arial" w:cs="Arial"/>
          <w:b/>
          <w:bCs/>
          <w:color w:val="003f7f"/>
          <w:sz w:val="28"/>
          <w:szCs w:val="28"/>
        </w:rPr>
        <w:t xml:space="preserve">10.1 Buchungstypen</w:t>
      </w:r>
    </w:p>
    <w:tbl>
      <w:tblPr>
        <w:tblW w:w="8026"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700"/>
        <w:gridCol w:w="1200"/>
        <w:gridCol w:w="1626"/>
        <w:gridCol w:w="1300"/>
      </w:tblGrid>
      <w:tr>
        <w:trPr>
          <w:tblHeader/>
        </w:trPr>
        <w:tc>
          <w:tcPr>
            <w:tcW w:w="14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Typ</w:t>
            </w:r>
          </w:p>
        </w:tc>
        <w:tc>
          <w:tcPr>
            <w:tcW w:w="1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Bezeichnung</w:t>
            </w:r>
          </w:p>
        </w:tc>
        <w:tc>
          <w:tcPr>
            <w:tcW w:w="7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Kürzel</w:t>
            </w:r>
          </w:p>
        </w:tc>
        <w:tc>
          <w:tcPr>
            <w:tcW w:w="12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SP-Auswirkung</w:t>
            </w:r>
          </w:p>
        </w:tc>
        <w:tc>
          <w:tcPr>
            <w:tcW w:w="16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Standardfarbe (Hex)</w:t>
            </w:r>
          </w:p>
        </w:tc>
        <w:tc>
          <w:tcPr>
            <w:tcW w:w="13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Buchbar an WE?</w:t>
            </w:r>
          </w:p>
        </w:tc>
      </w:tr>
      <w:tr>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NONE</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Kein Eintrag</w:t>
            </w:r>
          </w:p>
        </w:tc>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spPerDay</w:t>
            </w:r>
          </w:p>
        </w:tc>
        <w:tc>
          <w:tcPr>
            <w:tcW w:w="1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#FFFFFF</w:t>
            </w:r>
          </w:p>
        </w:tc>
        <w:tc>
          <w:tcPr>
            <w:tcW w:w="13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FERIEN</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Ferien / Frei</w:t>
            </w:r>
          </w:p>
        </w:tc>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#FB923C</w:t>
            </w:r>
          </w:p>
        </w:tc>
        <w:tc>
          <w:tcPr>
            <w:tcW w:w="13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ABWESEND</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Abwesenheit (Sonstiges)</w:t>
            </w:r>
          </w:p>
        </w:tc>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#6B7280</w:t>
            </w:r>
          </w:p>
        </w:tc>
        <w:tc>
          <w:tcPr>
            <w:tcW w:w="13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TEILZEIT</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Teilzeit (halber Tag)</w:t>
            </w:r>
          </w:p>
        </w:tc>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0,5 × spPerDay</w:t>
            </w:r>
          </w:p>
        </w:tc>
        <w:tc>
          <w:tcPr>
            <w:tcW w:w="1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#FDE68A</w:t>
            </w:r>
          </w:p>
        </w:tc>
        <w:tc>
          <w:tcPr>
            <w:tcW w:w="13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MILITAER</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Militärdienst</w:t>
            </w:r>
          </w:p>
        </w:tc>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#84CC16</w:t>
            </w:r>
          </w:p>
        </w:tc>
        <w:tc>
          <w:tcPr>
            <w:tcW w:w="13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IPA</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Individuelle Praktische Arbeit</w:t>
            </w:r>
          </w:p>
        </w:tc>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#A78BFA</w:t>
            </w:r>
          </w:p>
        </w:tc>
        <w:tc>
          <w:tcPr>
            <w:tcW w:w="13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BETRIEB</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Betriebsdienst</w:t>
            </w:r>
          </w:p>
        </w:tc>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#60A5FA</w:t>
            </w:r>
          </w:p>
        </w:tc>
        <w:tc>
          <w:tcPr>
            <w:tcW w:w="13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Nein</w:t>
            </w:r>
          </w:p>
        </w:tc>
      </w:tr>
      <w:tr>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BETRIEB_PIKETT</w:t>
            </w:r>
          </w:p>
        </w:tc>
        <w:tc>
          <w:tcPr>
            <w:tcW w:w="1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Betrieb und Pikett kombiniert</w:t>
            </w:r>
          </w:p>
        </w:tc>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BP</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#7C3AED</w:t>
            </w:r>
          </w:p>
        </w:tc>
        <w:tc>
          <w:tcPr>
            <w:tcW w:w="13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Ja</w:t>
            </w:r>
          </w:p>
        </w:tc>
      </w:tr>
      <w:tr>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PIKETT</w:t>
            </w:r>
          </w:p>
        </w:tc>
        <w:tc>
          <w:tcPr>
            <w:tcW w:w="1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Pikettdienst (Rufbereitschaft)</w:t>
            </w:r>
          </w:p>
        </w:tc>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0 SP</w:t>
            </w:r>
          </w:p>
        </w:tc>
        <w:tc>
          <w:tcPr>
            <w:tcW w:w="16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#F9A8D4</w:t>
            </w:r>
          </w:p>
        </w:tc>
        <w:tc>
          <w:tcPr>
            <w:tcW w:w="13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Ja</w:t>
            </w:r>
          </w:p>
        </w:tc>
      </w:tr>
    </w:tbl>
    <w:p>
      <w:pPr>
        <w:pStyle w:val="Heading2"/>
      </w:pPr>
      <w:r>
        <w:rPr>
          <w:rFonts w:ascii="Arial" w:hAnsi="Arial" w:eastAsia="Arial" w:cs="Arial"/>
          <w:b/>
          <w:bCs/>
          <w:color w:val="003f7f"/>
          <w:sz w:val="28"/>
          <w:szCs w:val="28"/>
        </w:rPr>
        <w:t xml:space="preserve">10.2 Lückenerkennung (verbindliche Geschäftsregeln)</w:t>
      </w:r>
    </w:p>
    <w:p>
      <w:pPr>
        <w:pStyle w:val="Heading3"/>
      </w:pPr>
      <w:r>
        <w:rPr>
          <w:rFonts w:ascii="Arial" w:hAnsi="Arial" w:eastAsia="Arial" w:cs="Arial"/>
          <w:b/>
          <w:bCs/>
          <w:color w:val="1a1a1a"/>
          <w:sz w:val="24"/>
          <w:szCs w:val="24"/>
        </w:rPr>
        <w:t xml:space="preserve">Betrieb-Lücke (gemäss ADR-005)</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Eine Betrieb-Lücke wird gemeldet, wenn an einem Arbeitstag (kein Wochenende, kein gesetzlicher Feiertag) die Anzahl der Mitarbeiter mit Buchungstyp BETRIEB oder BETRIEB_PIKETT in einem Team kleiner ist als die konfigurierte Mindestbesetzung (teamConfig.minBetrieb).</w:t>
            </w:r>
          </w:p>
        </w:tc>
      </w:tr>
    </w:tbl>
    <w:p/>
    <w:p>
      <w:pPr>
        <w:pStyle w:val="Heading3"/>
      </w:pPr>
      <w:r>
        <w:rPr>
          <w:rFonts w:ascii="Arial" w:hAnsi="Arial" w:eastAsia="Arial" w:cs="Arial"/>
          <w:b/>
          <w:bCs/>
          <w:color w:val="1a1a1a"/>
          <w:sz w:val="24"/>
          <w:szCs w:val="24"/>
        </w:rPr>
        <w:t xml:space="preserve">Pikett-Lücke (gemäss ADR-005)</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003f7f" w:sz="4"/>
              <w:left w:val="single" w:color="003f7f" w:sz="20"/>
              <w:bottom w:val="single" w:color="003f7f" w:sz="4"/>
              <w:right w:val="single" w:color="003f7f" w:sz="4"/>
            </w:tcBorders>
            <w:shd w:val="clear" w:fill="e8eff7"/>
            <w:tcMar>
              <w:left w:w="160" w:type="dxa"/>
              <w:top w:w="100" w:type="dxa"/>
              <w:right w:w="160" w:type="dxa"/>
              <w:bottom w:w="100" w:type="dxa"/>
            </w:tcMar>
          </w:tcPr>
          <w:p>
            <w:r>
              <w:rPr>
                <w:rFonts w:ascii="Arial" w:hAnsi="Arial" w:eastAsia="Arial" w:cs="Arial"/>
                <w:color w:val="1a1a1a"/>
                <w:sz w:val="20"/>
                <w:szCs w:val="20"/>
              </w:rPr>
              <w:t xml:space="preserve">Eine Pikett-Lücke wird gemeldet, wenn an einem beliebigen Tag (einschliesslich Wochenenden und Feiertagen) die Anzahl der Mitarbeiter mit PIKETT oder BETRIEB_PIKETT in einem Team kleiner ist als die konfigurierte Mindestbesetzung (teamConfig.minPikett). Pikett gilt 7 × 24, da Störungen jederzeit auftreten können.</w:t>
            </w:r>
          </w:p>
        </w:tc>
      </w:tr>
    </w:tbl>
    <w:p>
      <w:pPr>
        <w:pStyle w:val="Heading1"/>
        <w:pageBreakBefore w:val="true"/>
      </w:pPr>
      <w:r>
        <w:rPr>
          <w:rFonts w:ascii="Arial" w:hAnsi="Arial" w:eastAsia="Arial" w:cs="Arial"/>
          <w:b/>
          <w:bCs/>
          <w:color w:val="003f7f"/>
          <w:sz w:val="40"/>
          <w:szCs w:val="40"/>
        </w:rPr>
        <w:t xml:space="preserve">11. Sicherheitskonzept</w:t>
      </w:r>
    </w:p>
    <w:p>
      <w:pPr>
        <w:spacing w:after="100"/>
      </w:pPr>
      <w:r>
        <w:rPr>
          <w:rFonts w:ascii="Arial" w:hAnsi="Arial" w:eastAsia="Arial" w:cs="Arial"/>
          <w:color w:val="1a1a1a"/>
          <w:sz w:val="22"/>
          <w:szCs w:val="22"/>
        </w:rPr>
        <w:t xml:space="preserve">Das Sicherheitskonzept ist auf den internen Pilotbetrieb innerhalb der BIT-Netzwerkinfrastruktur ausgerichtet. Eine vollständige enterprise-grade Authentifizierung ist als Roadmap-Feature definiert.</w:t>
      </w:r>
    </w:p>
    <w:p>
      <w:pPr>
        <w:pStyle w:val="Heading2"/>
      </w:pPr>
      <w:r>
        <w:rPr>
          <w:rFonts w:ascii="Arial" w:hAnsi="Arial" w:eastAsia="Arial" w:cs="Arial"/>
          <w:b/>
          <w:bCs/>
          <w:color w:val="003f7f"/>
          <w:sz w:val="28"/>
          <w:szCs w:val="28"/>
        </w:rPr>
        <w:t xml:space="preserve">11.1 Aktuelles Sicherheitsniveau</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w="2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Eigenschaft</w:t>
            </w:r>
          </w:p>
        </w:tc>
        <w:tc>
          <w:tcPr>
            <w:tcW w:w="14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Status</w:t>
            </w:r>
          </w:p>
        </w:tc>
        <w:tc>
          <w:tcPr>
            <w:tcW w:w="48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r>
      <w:tr>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Datenisolation pro Tenant</w:t>
            </w:r>
          </w:p>
        </w:tc>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ERFÜLLT</w:t>
            </w:r>
          </w:p>
        </w:tc>
        <w:tc>
          <w:tcPr>
            <w:tcW w:w="48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Getrennte JSON-Dateien pro Train. Socket.io-Room-Isolation.</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Admin-Code Hashing</w:t>
            </w:r>
          </w:p>
        </w:tc>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ERFÜLLT</w:t>
            </w:r>
          </w:p>
        </w:tc>
        <w:tc>
          <w:tcPr>
            <w:tcW w:w="48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bcryptjs-Hash. Kein Plaintext in Konfiguration oder Logs.</w:t>
            </w:r>
          </w:p>
        </w:tc>
      </w:tr>
      <w:tr>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Rate-Limiting</w:t>
            </w:r>
          </w:p>
        </w:tc>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ERFÜLLT</w:t>
            </w:r>
          </w:p>
        </w:tc>
        <w:tc>
          <w:tcPr>
            <w:tcW w:w="48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3 Fehlversuche → 60s Sperre. Server-seitig durchgesetzt.</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HTTPS</w:t>
            </w:r>
          </w:p>
        </w:tc>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ERFÜLLT</w:t>
            </w:r>
          </w:p>
        </w:tc>
        <w:tc>
          <w:tcPr>
            <w:tcW w:w="48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TLS-Terminierung auf Deployment-Ebene.</w:t>
            </w:r>
          </w:p>
        </w:tc>
      </w:tr>
      <w:tr>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Keine externen Ressourcen</w:t>
            </w:r>
          </w:p>
        </w:tc>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ERFÜLLT</w:t>
            </w:r>
          </w:p>
        </w:tc>
        <w:tc>
          <w:tcPr>
            <w:tcW w:w="48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Fonts lokal gehostet. Kein CDN, kein Analytics.</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Kein LocalStorage für Kerndaten</w:t>
            </w:r>
          </w:p>
        </w:tc>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ERFÜLLT</w:t>
            </w:r>
          </w:p>
        </w:tc>
        <w:tc>
          <w:tcPr>
            <w:tcW w:w="48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Alle Geschäftsdaten server-seitig.</w:t>
            </w:r>
          </w:p>
        </w:tc>
      </w:tr>
      <w:tr>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Session-Sicherheit Admin-Code</w:t>
            </w:r>
          </w:p>
        </w:tc>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EINGESCHRÄNKT</w:t>
            </w:r>
          </w:p>
        </w:tc>
        <w:tc>
          <w:tcPr>
            <w:tcW w:w="48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Code 15min in sessionStorage gecacht. Kein echter Token.</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Multi-Faktor-Authentifizierung</w:t>
            </w:r>
          </w:p>
        </w:tc>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NICHT VORHANDEN</w:t>
            </w:r>
          </w:p>
        </w:tc>
        <w:tc>
          <w:tcPr>
            <w:tcW w:w="48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Kein 2FA. Geplant als TOTP (Roadmap R-01).</w:t>
            </w:r>
          </w:p>
        </w:tc>
      </w:tr>
      <w:tr>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Audit-Log</w:t>
            </w:r>
          </w:p>
        </w:tc>
        <w:tc>
          <w:tcPr>
            <w:tcW w:w="14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NICHT VORHANDEN</w:t>
            </w:r>
          </w:p>
        </w:tc>
        <w:tc>
          <w:tcPr>
            <w:tcW w:w="48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Keine Protokollierung von Admin-Aktionen. Geplant (Roadmap R-05).</w:t>
            </w:r>
          </w:p>
        </w:tc>
      </w:tr>
      <w:tr>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Benutzerauthentifizierung</w:t>
            </w:r>
          </w:p>
        </w:tc>
        <w:tc>
          <w:tcPr>
            <w:tcW w:w="14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NICHT VORHANDEN</w:t>
            </w:r>
          </w:p>
        </w:tc>
        <w:tc>
          <w:tcPr>
            <w:tcW w:w="48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Kein Login. Jeder mit URL kann auf Train zugreifen. Geplant via aGov OIDC (Roadmap R-02).</w:t>
            </w:r>
          </w:p>
        </w:tc>
      </w:tr>
    </w:tbl>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w="9026" w:type="dxa"/>
            <w:tcBorders>
              <w:top w:val="single" w:color="d97706" w:sz="4"/>
              <w:left w:val="single" w:color="d97706" w:sz="20"/>
              <w:bottom w:val="single" w:color="d97706" w:sz="4"/>
              <w:right w:val="single" w:color="d97706" w:sz="4"/>
            </w:tcBorders>
            <w:shd w:val="clear" w:fill="fef9c3"/>
            <w:tcMar>
              <w:left w:w="160" w:type="dxa"/>
              <w:top w:w="100" w:type="dxa"/>
              <w:right w:w="160" w:type="dxa"/>
              <w:bottom w:w="100" w:type="dxa"/>
            </w:tcMar>
          </w:tcPr>
          <w:p>
            <w:r>
              <w:rPr>
                <w:rFonts w:ascii="Arial" w:hAnsi="Arial" w:eastAsia="Arial" w:cs="Arial"/>
                <w:color w:val="1a1a1a"/>
                <w:sz w:val="20"/>
                <w:szCs w:val="20"/>
              </w:rPr>
              <w:t xml:space="preserve">Hinweis Betreiber: Die Anwendung besitzt in der aktuellen Version keine Benutzerauthentifizierung. Jede Person mit Kenntnis der URL kann den Train-Inhalt lesen und verändern. Für den internen Betrieb wird empfohlen, den Zugang via Netzwerk-Zugangskontrolle (z.B. VPN oder IP-Whitelist auf Infrastruktur-Ebene) zu beschränken.</w:t>
            </w:r>
          </w:p>
        </w:tc>
      </w:tr>
    </w:tbl>
    <w:p>
      <w:pPr>
        <w:pStyle w:val="Heading2"/>
      </w:pPr>
      <w:r>
        <w:rPr>
          <w:rFonts w:ascii="Arial" w:hAnsi="Arial" w:eastAsia="Arial" w:cs="Arial"/>
          <w:b/>
          <w:bCs/>
          <w:color w:val="003f7f"/>
          <w:sz w:val="28"/>
          <w:szCs w:val="28"/>
        </w:rPr>
        <w:t xml:space="preserve">11.2 Sicherheitsanforderungen Neuentwicklung</w:t>
      </w:r>
    </w:p>
    <w:p>
      <w:pPr>
        <w:pStyle w:val="ListParagraph"/>
        <w:numPr>
          <w:ilvl w:val="0"/>
          <w:numId w:val="2"/>
        </w:numPr>
      </w:pPr>
      <w:r>
        <w:rPr>
          <w:rFonts w:ascii="Arial" w:hAnsi="Arial" w:eastAsia="Arial" w:cs="Arial"/>
          <w:sz w:val="22"/>
          <w:szCs w:val="22"/>
        </w:rPr>
        <w:t xml:space="preserve">Admin-Codes via bcrypt (Kostenfaktor ≥ 10) hashen.</w:t>
      </w:r>
    </w:p>
    <w:p>
      <w:pPr>
        <w:pStyle w:val="ListParagraph"/>
        <w:numPr>
          <w:ilvl w:val="0"/>
          <w:numId w:val="2"/>
        </w:numPr>
      </w:pPr>
      <w:r>
        <w:rPr>
          <w:rFonts w:ascii="Arial" w:hAnsi="Arial" w:eastAsia="Arial" w:cs="Arial"/>
          <w:sz w:val="22"/>
          <w:szCs w:val="22"/>
        </w:rPr>
        <w:t xml:space="preserve">Rate-Limiting server-seitig implementiert – nicht via Client-Logik aushebelbar.</w:t>
      </w:r>
    </w:p>
    <w:p>
      <w:pPr>
        <w:pStyle w:val="ListParagraph"/>
        <w:numPr>
          <w:ilvl w:val="0"/>
          <w:numId w:val="2"/>
        </w:numPr>
      </w:pPr>
      <w:r>
        <w:rPr>
          <w:rFonts w:ascii="Arial" w:hAnsi="Arial" w:eastAsia="Arial" w:cs="Arial"/>
          <w:sz w:val="22"/>
          <w:szCs w:val="22"/>
        </w:rPr>
        <w:t xml:space="preserve">Keine sensitiven Daten in URL-Parametern, Browser-History oder Logs.</w:t>
      </w:r>
    </w:p>
    <w:p>
      <w:pPr>
        <w:pStyle w:val="ListParagraph"/>
        <w:numPr>
          <w:ilvl w:val="0"/>
          <w:numId w:val="2"/>
        </w:numPr>
      </w:pPr>
      <w:r>
        <w:rPr>
          <w:rFonts w:ascii="Arial" w:hAnsi="Arial" w:eastAsia="Arial" w:cs="Arial"/>
          <w:sz w:val="22"/>
          <w:szCs w:val="22"/>
        </w:rPr>
        <w:t xml:space="preserve">CORS korrekt konfiguriert (nur eigene Domain als Origin, kein Wildcard in Produktion).</w:t>
      </w:r>
    </w:p>
    <w:p>
      <w:pPr>
        <w:pStyle w:val="ListParagraph"/>
        <w:numPr>
          <w:ilvl w:val="0"/>
          <w:numId w:val="2"/>
        </w:numPr>
      </w:pPr>
      <w:r>
        <w:rPr>
          <w:rFonts w:ascii="Arial" w:hAnsi="Arial" w:eastAsia="Arial" w:cs="Arial"/>
          <w:sz w:val="22"/>
          <w:szCs w:val="22"/>
        </w:rPr>
        <w:t xml:space="preserve">Socket.io CORS-Origin muss zur Deployment-Domain passen.</w:t>
      </w:r>
    </w:p>
    <w:p>
      <w:pPr>
        <w:pStyle w:val="ListParagraph"/>
        <w:numPr>
          <w:ilvl w:val="0"/>
          <w:numId w:val="2"/>
        </w:numPr>
      </w:pPr>
      <w:r>
        <w:rPr>
          <w:rFonts w:ascii="Arial" w:hAnsi="Arial" w:eastAsia="Arial" w:cs="Arial"/>
          <w:sz w:val="22"/>
          <w:szCs w:val="22"/>
        </w:rPr>
        <w:t xml:space="preserve">Tenant-IDs in Pfaden validieren (Regex-Check) – keine Path-Traversal-Angriffe möglich.</w:t>
      </w:r>
    </w:p>
    <w:p>
      <w:pPr>
        <w:pStyle w:val="Heading1"/>
        <w:pageBreakBefore w:val="true"/>
      </w:pPr>
      <w:r>
        <w:rPr>
          <w:rFonts w:ascii="Arial" w:hAnsi="Arial" w:eastAsia="Arial" w:cs="Arial"/>
          <w:b/>
          <w:bCs/>
          <w:color w:val="003f7f"/>
          <w:sz w:val="40"/>
          <w:szCs w:val="40"/>
        </w:rPr>
        <w:t xml:space="preserve">12. Abnahmekriterien</w:t>
      </w:r>
    </w:p>
    <w:p>
      <w:pPr>
        <w:spacing w:after="100"/>
      </w:pPr>
      <w:r>
        <w:rPr>
          <w:rFonts w:ascii="Arial" w:hAnsi="Arial" w:eastAsia="Arial" w:cs="Arial"/>
          <w:color w:val="1a1a1a"/>
          <w:sz w:val="22"/>
          <w:szCs w:val="22"/>
        </w:rPr>
        <w:t xml:space="preserve">Die Abnahme erfolgt anhand der folgenden messbaren Kriterien. Alle Kriterien mit Priorität MUSS müssen ohne Abweichung erfüllt sein.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4326"/>
        <w:gridCol w:w="2800"/>
        <w:gridCol w:w="1200"/>
      </w:tblGrid>
      <w:tr>
        <w:trPr>
          <w:tblHeader/>
        </w:trPr>
        <w:tc>
          <w:tcPr>
            <w:tcW w:w="7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4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Kriterium</w:t>
            </w:r>
          </w:p>
        </w:tc>
        <w:tc>
          <w:tcPr>
            <w:tcW w:w="28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Messmethode</w:t>
            </w:r>
          </w:p>
        </w:tc>
        <w:tc>
          <w:tcPr>
            <w:tcW w:w="12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Prio</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AK-01</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Kapazitätsplanung für ein vollständiges PI (4–6 Iterationen) in unter 30 Minuten abschliessbar</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Zeitnahme durch Testnutzer</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AK-02</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SP-Berechnung stimmt mit manueller Excel-Rechnung überein (0% Abweichung bei gleichen Eingaben)</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Vergleich mit Referenz-Berechnung anhand definierter Testdaten</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AK-03</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Pikett-Lücken werden an Wochenenden und Feiertagen korrekt erkannt</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Testfall: definierte Lücke an einem Sonntag</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AK-04</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Betrieb-Lücken werden nur an Arbeitstagen gemeldet (keine Lücke an Weihnachten)</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Testfall: Weihnachtstag ohne Betrieb-Buchung</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AK-05</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Zwei Trains sind vollständig datenisoliert – kein Datenaustausch möglich</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Paralleltest mit 2 Browsersitzungen, verschiedene Trains</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AK-06</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JSON-Backup vollständig wiederherstellbar (Export → Restore → Vergleich)</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Export + Restore + automatischer Vergleich der State-Objekte</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AK-07</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Gleichzeitige Buchungen von 2 Benutzern werden korrekt synchronisiert</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Paralleltest mit 2 Browsern im gleichen Train</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AK-08</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Row-Locking: Zeile eines aktiv buchenden Users ist für anderen User gesperrt</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Paralleltest Drag-Buchung</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AK-09</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Corporate Design Bund eingehalten (Farben, Schrift, Logo)</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Visueller Vergleich mit CD Bund Manual</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AK-10</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Admin-Bereich nach 3 Fehlversuchen für 60 Sekunden gesperrt</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Testfall Rate-Limiting</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AK-11</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CSV-Import von Mitarbeiterstammdaten ohne Datenverlust</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Import Referenz-CSV + Vergleich</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AK-12</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PI Dashboard zeigt korrekte Auslastung mit richtiger Farbkodierung</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Testfall mit definierten Eingabewerten</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AK-13</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Ladezeit &lt; 3 Sekunden im Testumfeld</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Browser DevTools Network-Messung</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SOLL</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AK-14</w:t>
            </w:r>
          </w:p>
        </w:tc>
        <w:tc>
          <w:tcPr>
            <w:tcW w:w="4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Technische Dokumentation vollständig und aktuell</w:t>
            </w:r>
          </w:p>
        </w:tc>
        <w:tc>
          <w:tcPr>
            <w:tcW w:w="28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Review durch Auftraggeber</w:t>
            </w:r>
          </w:p>
        </w:tc>
        <w:tc>
          <w:tcPr>
            <w:tcW w:w="12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AK-15</w:t>
            </w:r>
          </w:p>
        </w:tc>
        <w:tc>
          <w:tcPr>
            <w:tcW w:w="4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Backup älterer Schema-Versionen wird ohne Fehler geladen (Migrations-Test)</w:t>
            </w:r>
          </w:p>
        </w:tc>
        <w:tc>
          <w:tcPr>
            <w:tcW w:w="28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Import eines Backup v1.0 in aktuelle Applikation</w:t>
            </w:r>
          </w:p>
        </w:tc>
        <w:tc>
          <w:tcPr>
            <w:tcW w:w="12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MUSS</w:t>
            </w:r>
          </w:p>
        </w:tc>
      </w:tr>
    </w:tbl>
    <w:p>
      <w:pPr>
        <w:pStyle w:val="Heading1"/>
        <w:pageBreakBefore w:val="true"/>
      </w:pPr>
      <w:r>
        <w:rPr>
          <w:rFonts w:ascii="Arial" w:hAnsi="Arial" w:eastAsia="Arial" w:cs="Arial"/>
          <w:b/>
          <w:bCs/>
          <w:color w:val="003f7f"/>
          <w:sz w:val="40"/>
          <w:szCs w:val="40"/>
        </w:rPr>
        <w:t xml:space="preserve">13. Roadmap – Optionale Erweiterungen</w:t>
      </w:r>
    </w:p>
    <w:p>
      <w:pPr>
        <w:spacing w:after="100"/>
      </w:pPr>
      <w:r>
        <w:rPr>
          <w:rFonts w:ascii="Arial" w:hAnsi="Arial" w:eastAsia="Arial" w:cs="Arial"/>
          <w:color w:val="1a1a1a"/>
          <w:sz w:val="22"/>
          <w:szCs w:val="22"/>
        </w:rPr>
        <w:t xml:space="preserve">Die folgenden Funktionen sind nicht Bestandteil der Grundbestellung, sollen aber bei der Systemarchitektur berücksichtigt werden, damit eine spätere Erweiterung ohne grundlegende Umbauten möglich ist.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326"/>
        <w:gridCol w:w="1000"/>
      </w:tblGrid>
      <w:tr>
        <w:trPr>
          <w:tblHeader/>
        </w:trPr>
        <w:tc>
          <w:tcPr>
            <w:tcW w:w="7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ID</w:t>
            </w:r>
          </w:p>
        </w:tc>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Feature</w:t>
            </w:r>
          </w:p>
        </w:tc>
        <w:tc>
          <w:tcPr>
            <w:tcW w:w="53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Beschreibung</w:t>
            </w:r>
          </w:p>
        </w:tc>
        <w:tc>
          <w:tcPr>
            <w:tcW w:w="1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Aufwand</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R-01</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TOTP 2FA</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Zwei-Faktor-Authentifizierung via Google Authenticator / Microsoft Authenticator (TOTP-Standard, RFC 6238) für Admin-Zugang.</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Mittel</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R-02</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aGov OIDC-Integration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Single Sign-On via Identity Provider der Schweizer Bundesverwaltung (aGov, OpenID Connect / OAuth2 Authorization Code Flow mit PKCE).</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Hoch</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R-03</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Jira REST API Integration</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Automatische Synchronisation der geplanten Story Points direkt aus Jira via REST API (ersetzt manuelle Eingabe durch PO).</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Mittel</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R-04</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Mobile-Optimierung</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Responsive Design für mobile Endgeräte (min. 375px), Touch-optimierte Drag-Buchung.</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Mittel</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R-05</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Audit-Log</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Protokollierung aller Admin-Aktionen mit Zeitstempel und Benutzerzuordnung. Integration Splunk/Loki für Log-Forwarding.</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Gering</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R-06</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Rollen und Berechtigungen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Differenzierte Rollen: Admin (voller Zugriff), Planer (Buchungen + Konfiguration), Read-Only (nur Lesen).</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Hoch</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R-07</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Custom Allocation Types</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Konfigurierbare Buchungstypen pro Team: eigene Kategorien mit individuellen Farben, Kürzeln und SP-Gewichtungen.</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Mittel</w:t>
            </w:r>
          </w:p>
        </w:tc>
      </w:tr>
      <w:tr>
        <w:tc>
          <w:tcPr>
            <w:tcW w:w="7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R-08</w:t>
            </w:r>
          </w:p>
        </w:tc>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PostgreSQL-Migration</w:t>
            </w:r>
          </w:p>
        </w:tc>
        <w:tc>
          <w:tcPr>
            <w:tcW w:w="53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Ersatz der JSON-Dateipersistenz durch PostgreSQL. StateManager-Interface bleibt erhalten.</w:t>
            </w:r>
          </w:p>
        </w:tc>
        <w:tc>
          <w:tcPr>
            <w:tcW w:w="1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Mittel</w:t>
            </w:r>
          </w:p>
        </w:tc>
      </w:tr>
      <w:tr>
        <w:tc>
          <w:tcPr>
            <w:tcW w:w="7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R-09</w:t>
            </w:r>
          </w:p>
        </w:tc>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OpenShift / RHOS Deployment</w:t>
            </w:r>
          </w:p>
        </w:tc>
        <w:tc>
          <w:tcPr>
            <w:tcW w:w="53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Containerisierung für Deployment auf BIT OpenShift Plattform (SZ Primus), inkl. ArgoCD/Tekton GitOps-Pipeline.</w:t>
            </w:r>
          </w:p>
        </w:tc>
        <w:tc>
          <w:tcPr>
            <w:tcW w:w="1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Hoch</w:t>
            </w:r>
          </w:p>
        </w:tc>
      </w:tr>
    </w:tbl>
    <w:p>
      <w:pPr>
        <w:pStyle w:val="Heading1"/>
        <w:pageBreakBefore w:val="true"/>
      </w:pPr>
      <w:r>
        <w:rPr>
          <w:rFonts w:ascii="Arial" w:hAnsi="Arial" w:eastAsia="Arial" w:cs="Arial"/>
          <w:b/>
          <w:bCs/>
          <w:color w:val="003f7f"/>
          <w:sz w:val="40"/>
          <w:szCs w:val="40"/>
        </w:rPr>
        <w:t xml:space="preserve">14. Anhang: Glossar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w="2000"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Begriff</w:t>
            </w:r>
          </w:p>
        </w:tc>
        <w:tc>
          <w:tcPr>
            <w:tcW w:w="7026" w:type="dxa"/>
            <w:tcBorders>
              <w:top w:val="single" w:color="0055aa" w:sz="4"/>
              <w:left w:val="single" w:color="0055aa" w:sz="4"/>
              <w:bottom w:val="single" w:color="0055aa" w:sz="4"/>
              <w:right w:val="single" w:color="0055aa" w:sz="4"/>
            </w:tcBorders>
            <w:shd w:val="clear" w:fill="003f7f"/>
            <w:tcMar>
              <w:left w:w="120" w:type="dxa"/>
              <w:top w:w="80" w:type="dxa"/>
              <w:right w:w="120" w:type="dxa"/>
              <w:bottom w:w="80" w:type="dxa"/>
            </w:tcMar>
            <w:vAlign w:val="center"/>
          </w:tcPr>
          <w:p>
            <w:r>
              <w:rPr>
                <w:rFonts w:ascii="Arial" w:hAnsi="Arial" w:eastAsia="Arial" w:cs="Arial"/>
                <w:b/>
                <w:bCs/>
                <w:color w:val="ffffff"/>
                <w:sz w:val="18"/>
                <w:szCs w:val="18"/>
              </w:rPr>
              <w:t xml:space="preserve">Definition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ART</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Agile Release Train – Organisationseinheit im SAFe-Framework, bestehend aus mehreren Scrum-Teams</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BIT</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Bundesamt für Informatik und Telekommunikation – IT-Dienstleister der Schweizer Bundesverwaltung</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Betrieb</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Betriebsdienst – Mitarbeiter im Betrieb sind für den operativen Betrieb von IT-Systemen zuständig und nicht für Entwicklungsaufgaben verfügbar</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Blocker / Change-Freeze</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Zeitraum, in dem keine Deployments erlaubt sind. Zählt als normaler Arbeitstag (kein SP-Abzug).</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FTE</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Full-Time Equivalent – Beschäftigungsgrad (1,0 = 100%, 0,8 = 80% Pensum)</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IPA</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Individuelle Praktische Arbeit – Abschlussarbeit in der Berufsausbildung (Schweiz)</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Iteration</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Sprint – Zeitbox von ca. 2–3 Wochen innerhalb eines PI</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Kapazitätsprozent</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Anteil der Arbeitszeit eines Mitarbeiters, der für Entwicklungsaufgaben verfügbar ist</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Mandant / Tenant</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Isolierte Dateneinheit im System. Entspricht einem Agile Release Train.</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Pikett</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Rufbereitschaft – Mitarbeiter im Pikett sind ausserhalb der regulären Arbeitszeit erreichbar und können bei IT-Störungen eingreifen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PI</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Program Increment – Planungszyklus im SAFe-Framework, typischerweise 8–12 Wochen</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PI Planning</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SAFe PI Planning Event – mehrtägige Planungsveranstaltung zu Beginn jedes PI</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RHOS</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Red Hat OpenShift – Container-Plattform, genutzt von BIT (SZ Primus)</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SAFe</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Scaled Agile Framework – Framework für die Skalierung agiler Methoden in grossen Organisationen</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SP</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Story Points – relatives Mass für den Aufwand einer Entwicklungsaufgabe</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Swiss DS</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Swiss Design System – offizielles Design System der Schweizer Bundesverwaltung</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TenantGate</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Splash-Screen beim App-Start zur Auswahl des aktiven Trains</w:t>
            </w:r>
          </w:p>
        </w:tc>
      </w:tr>
      <w:tr>
        <w:tc>
          <w:tcPr>
            <w:tcW w:w="2000"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bCs/>
                <w:color w:val="1a1a1a"/>
                <w:sz w:val="18"/>
                <w:szCs w:val="18"/>
              </w:rPr>
              <w:t xml:space="preserve">Train</w:t>
            </w:r>
          </w:p>
        </w:tc>
        <w:tc>
          <w:tcPr>
            <w:tcW w:w="7026" w:type="dxa"/>
            <w:tcBorders>
              <w:top w:val="single" w:color="d5d5d5" w:sz="4"/>
              <w:left w:val="single" w:color="d5d5d5" w:sz="4"/>
              <w:bottom w:val="single" w:color="d5d5d5" w:sz="4"/>
              <w:right w:val="single" w:color="d5d5d5" w:sz="4"/>
            </w:tcBorders>
            <w:shd w:val="clear" w:fill="f5f5f5"/>
            <w:tcMar>
              <w:left w:w="120" w:type="dxa"/>
              <w:top w:w="80" w:type="dxa"/>
              <w:right w:w="120" w:type="dxa"/>
              <w:bottom w:w="80" w:type="dxa"/>
            </w:tcMar>
          </w:tcPr>
          <w:p>
            <w:r>
              <w:rPr>
                <w:rFonts w:ascii="Arial" w:hAnsi="Arial" w:eastAsia="Arial" w:cs="Arial"/>
                <w:b w:val="0"/>
                <w:bCs w:val="0"/>
                <w:color w:val="1a1a1a"/>
                <w:sz w:val="18"/>
                <w:szCs w:val="18"/>
              </w:rPr>
              <w:t xml:space="preserve">Im Kontext dieser Anwendung: ein Mandant, der einem Agile Release Train entspricht</w:t>
            </w:r>
          </w:p>
        </w:tc>
      </w:tr>
      <w:tr>
        <w:tc>
          <w:tcPr>
            <w:tcW w:w="2000"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bCs/>
                <w:color w:val="1a1a1a"/>
                <w:sz w:val="18"/>
                <w:szCs w:val="18"/>
              </w:rPr>
              <w:t xml:space="preserve">WebSocket / Socket.io</w:t>
            </w:r>
          </w:p>
        </w:tc>
        <w:tc>
          <w:tcPr>
            <w:tcW w:w="7026" w:type="dxa"/>
            <w:tcBorders>
              <w:top w:val="single" w:color="d5d5d5" w:sz="4"/>
              <w:left w:val="single" w:color="d5d5d5" w:sz="4"/>
              <w:bottom w:val="single" w:color="d5d5d5" w:sz="4"/>
              <w:right w:val="single" w:color="d5d5d5" w:sz="4"/>
            </w:tcBorders>
            <w:shd w:val="clear" w:fill="ffffff"/>
            <w:tcMar>
              <w:left w:w="120" w:type="dxa"/>
              <w:top w:w="80" w:type="dxa"/>
              <w:right w:w="120" w:type="dxa"/>
              <w:bottom w:w="80" w:type="dxa"/>
            </w:tcMar>
          </w:tcPr>
          <w:p>
            <w:r>
              <w:rPr>
                <w:rFonts w:ascii="Arial" w:hAnsi="Arial" w:eastAsia="Arial" w:cs="Arial"/>
                <w:b w:val="0"/>
                <w:bCs w:val="0"/>
                <w:color w:val="1a1a1a"/>
                <w:sz w:val="18"/>
                <w:szCs w:val="18"/>
              </w:rPr>
              <w:t xml:space="preserve">Protokoll für bidirektionale Echtzeit-Kommunikation zwischen Client und Server</w:t>
            </w:r>
          </w:p>
        </w:tc>
      </w:tr>
    </w:tbl>
    <w:p/>
    <w:p/>
    <w:p>
      <w:pPr>
        <w:pBdr>
          <w:top w:val="single" w:color="003f7f" w:sz="4"/>
        </w:pBdr>
        <w:spacing w:before="200"/>
        <w:jc w:val="center"/>
      </w:pPr>
      <w:r>
        <w:rPr>
          <w:rFonts w:ascii="Arial" w:hAnsi="Arial" w:eastAsia="Arial" w:cs="Arial"/>
          <w:color w:val="888888"/>
          <w:sz w:val="16"/>
          <w:szCs w:val="16"/>
        </w:rPr>
        <w:t xml:space="preserve">© Bundesamt für Informatik und Telekommunikation (BIT) – Internes Dokument | Lastenheft SAFe PI Capacity Planner – Version 2.0 – April 2026</w:t>
      </w:r>
    </w:p>
    <w:sectPr>
      <w:headerReference w:type="default" r:id="rId9"/>
      <w:footerReference w:type="default" r:id="rId10"/>
      <w:pgSz w:h="16838" w:orient="portrait" w:w="11906"/>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5d5d5" w:sz="4"/>
      </w:pBdr>
      <w:tabs>
        <w:tab w:val="right" w:pos="9026"/>
      </w:tabs>
    </w:pPr>
    <w:r>
      <w:rPr>
        <w:rFonts w:ascii="Arial" w:hAnsi="Arial" w:eastAsia="Arial" w:cs="Arial"/>
        <w:color w:val="888888"/>
        <w:sz w:val="16"/>
        <w:szCs w:val="16"/>
      </w:rPr>
      <w:t xml:space="preserve">Intern – nicht für Dritte bestimmt</w:t>
    </w:r>
    <w:r>
      <w:rPr>
        <w:rFonts w:ascii="Arial" w:hAnsi="Arial" w:eastAsia="Arial" w:cs="Arial"/>
        <w:color w:val="888888"/>
        <w:sz w:val="16"/>
        <w:szCs w:val="16"/>
      </w:rPr>
      <w:t xml:space="preserve">	Seite </w:t>
    </w:r>
    <w:r>
      <w:rPr>
        <w:rFonts w:ascii="Arial" w:hAnsi="Arial" w:eastAsia="Arial" w:cs="Arial"/>
        <w:color w:val="888888"/>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003f7f" w:sz="4"/>
      </w:pBdr>
      <w:tabs>
        <w:tab w:val="right" w:pos="9026"/>
      </w:tabs>
    </w:pPr>
    <w:r>
      <w:rPr>
        <w:rFonts w:ascii="Arial" w:hAnsi="Arial" w:eastAsia="Arial" w:cs="Arial"/>
        <w:color w:val="003f7f"/>
        <w:sz w:val="16"/>
        <w:szCs w:val="16"/>
      </w:rPr>
      <w:t xml:space="preserve">Lastenheft SAFe PI Capacity Planner v2.0</w:t>
    </w:r>
    <w:r>
      <w:rPr>
        <w:rFonts w:ascii="Arial" w:hAnsi="Arial" w:eastAsia="Arial" w:cs="Arial"/>
        <w:color w:val="888888"/>
        <w:sz w:val="16"/>
        <w:szCs w:val="16"/>
      </w:rPr>
      <w:t xml:space="preserve">	BIT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multiLevelType w:val="hybridMultilevel"/>
    <w:lvl w:ilvl="0">
      <w:lvlJc w:val="left"/>
      <w:lvlText w:val="●"/>
      <w:numFmt w:val="bullet"/>
      <w:pPr>
        <w:ind w:hanging="360" w:left="720"/>
      </w:pPr>
      <w:start w:val="1"/>
    </w:lvl>
    <w:lvl w:ilvl="1">
      <w:lvlJc w:val="left"/>
      <w:lvlText w:val="○"/>
      <w:numFmt w:val="bullet"/>
      <w:pPr>
        <w:ind w:hanging="360" w:left="1440"/>
      </w:pPr>
      <w:start w:val="1"/>
    </w:lvl>
    <w:lvl w:ilvl="2">
      <w:lvlJc w:val="left"/>
      <w:lvlText w:val="■"/>
      <w:numFmt w:val="bullet"/>
      <w:pPr>
        <w:ind w:hanging="360" w:left="2160"/>
      </w:pPr>
      <w:start w:val="1"/>
    </w:lvl>
    <w:lvl w:ilvl="3">
      <w:lvlJc w:val="left"/>
      <w:lvlText w:val="●"/>
      <w:numFmt w:val="bullet"/>
      <w:pPr>
        <w:ind w:hanging="360" w:left="2880"/>
      </w:pPr>
      <w:start w:val="1"/>
    </w:lvl>
    <w:lvl w:ilvl="4">
      <w:lvlJc w:val="left"/>
      <w:lvlText w:val="○"/>
      <w:numFmt w:val="bullet"/>
      <w:pPr>
        <w:ind w:hanging="360" w:left="3600"/>
      </w:pPr>
      <w:start w:val="1"/>
    </w:lvl>
    <w:lvl w:ilvl="5">
      <w:lvlJc w:val="left"/>
      <w:lvlText w:val="■"/>
      <w:numFmt w:val="bullet"/>
      <w:pPr>
        <w:ind w:hanging="360" w:left="4320"/>
      </w:pPr>
      <w:start w:val="1"/>
    </w:lvl>
    <w:lvl w:ilvl="6">
      <w:lvlJc w:val="left"/>
      <w:lvlText w:val="●"/>
      <w:numFmt w:val="bullet"/>
      <w:pPr>
        <w:ind w:hanging="360" w:left="5040"/>
      </w:pPr>
      <w:start w:val="1"/>
    </w:lvl>
    <w:lvl w:ilvl="7">
      <w:lvlJc w:val="left"/>
      <w:lvlText w:val="●"/>
      <w:numFmt w:val="bullet"/>
      <w:pPr>
        <w:ind w:hanging="360" w:left="5760"/>
      </w:pPr>
      <w:start w:val="1"/>
    </w:lvl>
    <w:lvl w:ilvl="8">
      <w:lvlJc w:val="left"/>
      <w:lvlText w:val="●"/>
      <w:numFmt w:val="bullet"/>
      <w:pPr>
        <w:ind w:hanging="360" w:left="6480"/>
      </w:pPr>
      <w:start w:val="1"/>
    </w:lvl>
  </w:abstractNum>
  <w:abstractNum w:abstractNumId="2">
    <w:multiLevelType w:val="hybridMultilevel"/>
    <w:lvl w:ilvl="0">
      <w:lvlJc w:val="left"/>
      <w:lvlText w:val="•"/>
      <w:numFmt w:val="bullet"/>
      <w:pPr>
        <w:ind w:hanging="300" w:left="600"/>
      </w:pPr>
      <w:start w:val="1"/>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Arial" w:cs="Arial"/>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3f7f" w:sz="8" w:space="4"/>
      </w:pBdr>
      <w:spacing w:after="200" w:before="400"/>
      <w:outlineLvl w:val="0"/>
    </w:pPr>
    <w:rPr>
      <w:rFonts w:ascii="Arial" w:hAnsi="Arial" w:eastAsia="Arial" w:cs="Arial"/>
      <w:b/>
      <w:bCs/>
      <w:color w:val="003f7f"/>
      <w:sz w:val="40"/>
      <w:szCs w:val="40"/>
    </w:rPr>
  </w:style>
  <w:style w:type="paragraph" w:styleId="Heading2">
    <w:name w:val="Heading 2"/>
    <w:basedOn w:val="Normal"/>
    <w:next w:val="Normal"/>
    <w:qFormat/>
    <w:pPr>
      <w:spacing w:after="160" w:before="300"/>
      <w:outlineLvl w:val="1"/>
    </w:pPr>
    <w:rPr>
      <w:rFonts w:ascii="Arial" w:hAnsi="Arial" w:eastAsia="Arial" w:cs="Arial"/>
      <w:b/>
      <w:bCs/>
      <w:color w:val="003f7f"/>
      <w:sz w:val="28"/>
      <w:szCs w:val="28"/>
    </w:rPr>
  </w:style>
  <w:style w:type="paragraph" w:styleId="Heading3">
    <w:name w:val="Heading 3"/>
    <w:basedOn w:val="Normal"/>
    <w:next w:val="Normal"/>
    <w:qFormat/>
    <w:pPr>
      <w:spacing w:after="100" w:before="200"/>
      <w:outlineLvl w:val="2"/>
    </w:pPr>
    <w:rPr>
      <w:rFonts w:ascii="Arial" w:hAnsi="Arial" w:eastAsia="Arial" w:cs="Arial"/>
      <w:b/>
      <w:bCs/>
      <w:color w:val="1a1a1a"/>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2026-04-28T17:33:16.097Z</dcterms:created>
  <dcterms:modified xsi:type="dcterms:W3CDTF">2026-04-28T17:33:16.098Z</dcterms:modified>
</cp:coreProperties>
</file>

<file path=docProps/custom.xml><?xml version="1.0" encoding="utf-8"?>
<Properties xmlns="http://schemas.openxmlformats.org/officeDocument/2006/custom-properties" xmlns:vt="http://schemas.openxmlformats.org/officeDocument/2006/docPropsVTypes"/>
</file>