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olor w:val="666666"/>
          <w:sz w:val="20"/>
          <w:szCs w:val="20"/>
        </w:rPr>
        <w:t xml:space="preserve">Schweizerische Eidgenossenschaft</w:t>
      </w:r>
    </w:p>
    <w:p>
      <w:pPr>
        <w:jc w:val="center"/>
      </w:pPr>
      <w:r>
        <w:rPr>
          <w:rFonts w:ascii="Arial" w:cs="Arial" w:eastAsia="Arial" w:hAnsi="Arial"/>
          <w:color w:val="666666"/>
          <w:sz w:val="20"/>
          <w:szCs w:val="20"/>
        </w:rPr>
        <w:t xml:space="preserve">Bundesamt für Informatik und Telekommunikation BIT</w:t>
      </w:r>
    </w:p>
    <w:p>
      <w:pPr>
        <w:spacing w:before="600"/>
      </w:pPr>
    </w:p>
    <w:p>
      <w:pPr>
        <w:pBdr>
          <w:bottom w:val="single" w:color="003F7F" w:sz="8" w:space="4"/>
        </w:pBdr>
        <w:jc w:val="center"/>
      </w:pPr>
      <w:r>
        <w:rPr>
          <w:rFonts w:ascii="Arial" w:cs="Arial" w:eastAsia="Arial" w:hAnsi="Arial"/>
          <w:b/>
          <w:bCs/>
          <w:color w:val="003F7F"/>
          <w:sz w:val="56"/>
          <w:szCs w:val="56"/>
        </w:rPr>
        <w:t xml:space="preserve">SAFe PI Capacity Planner</w:t>
      </w:r>
    </w:p>
    <w:p>
      <w:pPr>
        <w:spacing w:before="200"/>
      </w:pPr>
    </w:p>
    <w:p>
      <w:pPr>
        <w:jc w:val="center"/>
      </w:pPr>
      <w:r>
        <w:rPr>
          <w:rFonts w:ascii="Arial" w:cs="Arial" w:eastAsia="Arial" w:hAnsi="Arial"/>
          <w:color w:val="1A1A1A"/>
          <w:sz w:val="36"/>
          <w:szCs w:val="36"/>
        </w:rPr>
        <w:t xml:space="preserve">Benutzerdokumentation</w:t>
      </w:r>
    </w:p>
    <w:p>
      <w:pPr>
        <w:spacing w:before="200"/>
      </w:pPr>
    </w:p>
    <w:p>
      <w:pPr>
        <w:jc w:val="center"/>
      </w:pPr>
      <w:r>
        <w:rPr>
          <w:rFonts w:ascii="Arial" w:cs="Arial" w:eastAsia="Arial" w:hAnsi="Arial"/>
          <w:color w:val="666666"/>
          <w:sz w:val="22"/>
          <w:szCs w:val="22"/>
        </w:rPr>
        <w:t xml:space="preserve">Version 1.0 | März 2026</w:t>
      </w:r>
    </w:p>
    <w:p>
      <w:pPr>
        <w:spacing w:before="2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Dokument</w:t>
            </w:r>
          </w:p>
        </w:tc>
        <w:tc>
          <w:tcPr>
            <w:tcW w:type="dxa" w:w="7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Titel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 PI Capacity Planner – Benutzerdokumentation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Zielgruppe</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Team-Mitglieder, Scrum Master, Chapter Leads, PI Planning Teilnehmer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Datum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März 2026</w:t>
            </w:r>
          </w:p>
        </w:tc>
      </w:tr>
    </w:tbl>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1. Einführung</w:t>
      </w:r>
    </w:p>
    <w:p>
      <w:pPr>
        <w:pStyle w:val="Heading2"/>
        <w:spacing w:before="300" w:after="120"/>
      </w:pPr>
      <w:r>
        <w:rPr>
          <w:rFonts w:ascii="Arial" w:cs="Arial" w:eastAsia="Arial" w:hAnsi="Arial"/>
          <w:b/>
          <w:bCs/>
          <w:color w:val="003F7F"/>
          <w:sz w:val="26"/>
          <w:szCs w:val="26"/>
        </w:rPr>
        <w:t xml:space="preserve">1.1 Was ist der SAFe PI Capacity Planner?</w:t>
      </w:r>
    </w:p>
    <w:p>
      <w:pPr>
        <w:spacing w:after="120"/>
      </w:pPr>
      <w:r>
        <w:rPr>
          <w:rFonts w:ascii="Arial" w:cs="Arial" w:eastAsia="Arial" w:hAnsi="Arial"/>
          <w:color w:val="1A1A1A"/>
          <w:sz w:val="20"/>
          <w:szCs w:val="20"/>
        </w:rPr>
        <w:t xml:space="preserve">Der SAFe PI Capacity Planner ist eine Webanwendung des Bundesamts für Informatik und Telekommunikation (BIT) für die Kapazitätsplanung im Rahmen von SAFe PI Planning. Die Applikation ermöglicht es Teams, ihre verfügbare Kapazität in Story Points pro Iteration und PI zu berechnen.</w:t>
      </w:r>
    </w:p>
    <w:p>
      <w:pPr>
        <w:spacing w:after="120"/>
      </w:pPr>
      <w:r>
        <w:rPr>
          <w:rFonts w:ascii="Arial" w:cs="Arial" w:eastAsia="Arial" w:hAnsi="Arial"/>
          <w:color w:val="1A1A1A"/>
          <w:sz w:val="20"/>
          <w:szCs w:val="20"/>
        </w:rPr>
        <w:t xml:space="preserve">Die Applikation läuft lokal im Browser und ist unter http://localhost:5173 erreichbar (nach dem Start durch die IT).</w:t>
      </w:r>
    </w:p>
    <w:p>
      <w:pPr>
        <w:pStyle w:val="Heading2"/>
        <w:spacing w:before="300" w:after="120"/>
      </w:pPr>
      <w:r>
        <w:rPr>
          <w:rFonts w:ascii="Arial" w:cs="Arial" w:eastAsia="Arial" w:hAnsi="Arial"/>
          <w:b/>
          <w:bCs/>
          <w:color w:val="003F7F"/>
          <w:sz w:val="26"/>
          <w:szCs w:val="26"/>
        </w:rPr>
        <w:t xml:space="preserve">1.2 Hauptfunktionen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Planung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Kalenderansicht mit Maus-Buchung von Absenzen pro Mitarbeiter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Automatische Berechnung verfügbarer Story Points pro Team und 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Planungsergebnis, Engpässe und Lücken auf einen Blick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Einstellungen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Mitarbeiterstamm, PI-Planung, Feiertage, Schulferien, Blocker, Zielwerte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Backup/Restore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Vollständige Datensicherung und Wiederherstellung als 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und PNG Export für Confluence</w:t>
            </w:r>
          </w:p>
        </w:tc>
      </w:tr>
    </w:tbl>
    <w:p>
      <w:pPr>
        <w:pStyle w:val="Heading2"/>
        <w:spacing w:before="300" w:after="120"/>
      </w:pPr>
      <w:r>
        <w:rPr>
          <w:rFonts w:ascii="Arial" w:cs="Arial" w:eastAsia="Arial" w:hAnsi="Arial"/>
          <w:b/>
          <w:bCs/>
          <w:color w:val="003F7F"/>
          <w:sz w:val="26"/>
          <w:szCs w:val="26"/>
        </w:rPr>
        <w:t xml:space="preserve">1.3 Navigation</w:t>
      </w:r>
    </w:p>
    <w:p>
      <w:pPr>
        <w:spacing w:after="120"/>
      </w:pPr>
      <w:r>
        <w:rPr>
          <w:rFonts w:ascii="Arial" w:cs="Arial" w:eastAsia="Arial" w:hAnsi="Arial"/>
          <w:color w:val="1A1A1A"/>
          <w:sz w:val="20"/>
          <w:szCs w:val="20"/>
        </w:rPr>
        <w:t xml:space="preserve">Die Applikation ist in vier Hauptbereiche unterteilt, die über die Tabs oben navigierbar sind:</w:t>
      </w:r>
    </w:p>
    <w:p>
      <w:pPr>
        <w:pStyle w:val="ListParagraph"/>
        <w:numPr>
          <w:ilvl w:val="0"/>
          <w:numId w:val="2"/>
        </w:numPr>
        <w:spacing w:after="60"/>
      </w:pPr>
      <w:r>
        <w:rPr>
          <w:rFonts w:ascii="Arial" w:cs="Arial" w:eastAsia="Arial" w:hAnsi="Arial"/>
          <w:color w:val="1A1A1A"/>
          <w:sz w:val="20"/>
          <w:szCs w:val="20"/>
        </w:rPr>
        <w:t xml:space="preserve">Planung: Kalenderansicht mit Absenzbuchung</w:t>
      </w:r>
    </w:p>
    <w:p>
      <w:pPr>
        <w:pStyle w:val="ListParagraph"/>
        <w:numPr>
          <w:ilvl w:val="0"/>
          <w:numId w:val="2"/>
        </w:numPr>
        <w:spacing w:after="60"/>
      </w:pPr>
      <w:r>
        <w:rPr>
          <w:rFonts w:ascii="Arial" w:cs="Arial" w:eastAsia="Arial" w:hAnsi="Arial"/>
          <w:color w:val="1A1A1A"/>
          <w:sz w:val="20"/>
          <w:szCs w:val="20"/>
        </w:rPr>
        <w:t xml:space="preserve">Kapazität: Story-Point-Berechnung in Tabellenform</w:t>
      </w:r>
    </w:p>
    <w:p>
      <w:pPr>
        <w:pStyle w:val="ListParagraph"/>
        <w:numPr>
          <w:ilvl w:val="0"/>
          <w:numId w:val="2"/>
        </w:numPr>
        <w:spacing w:after="60"/>
      </w:pPr>
      <w:r>
        <w:rPr>
          <w:rFonts w:ascii="Arial" w:cs="Arial" w:eastAsia="Arial" w:hAnsi="Arial"/>
          <w:color w:val="1A1A1A"/>
          <w:sz w:val="20"/>
          <w:szCs w:val="20"/>
        </w:rPr>
        <w:t xml:space="preserve">Dashboard: Visuelle Auswertung und Lücken-Erkennung</w:t>
      </w:r>
    </w:p>
    <w:p>
      <w:pPr>
        <w:pStyle w:val="ListParagraph"/>
        <w:numPr>
          <w:ilvl w:val="0"/>
          <w:numId w:val="2"/>
        </w:numPr>
        <w:spacing w:after="60"/>
      </w:pPr>
      <w:r>
        <w:rPr>
          <w:rFonts w:ascii="Arial" w:cs="Arial" w:eastAsia="Arial" w:hAnsi="Arial"/>
          <w:color w:val="1A1A1A"/>
          <w:sz w:val="20"/>
          <w:szCs w:val="20"/>
        </w:rPr>
        <w:t xml:space="preserve">Einstellungen: Alle Konfigurations-Bereiche</w:t>
      </w:r>
    </w:p>
    <w:p>
      <w:pPr>
        <w:spacing w:after="120"/>
      </w:pPr>
      <w:r>
        <w:rPr>
          <w:rFonts w:ascii="Arial" w:cs="Arial" w:eastAsia="Arial" w:hAnsi="Arial"/>
          <w:color w:val="1A1A1A"/>
          <w:sz w:val="20"/>
          <w:szCs w:val="20"/>
        </w:rPr>
        <w:t xml:space="preserve">Die Filterleiste oberhalb der Tabs wirkt durchgehend in allen Bereichen.</w:t>
      </w:r>
    </w:p>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2. Filterleiste</w:t>
      </w:r>
    </w:p>
    <w:p>
      <w:pPr>
        <w:spacing w:after="120"/>
      </w:pPr>
      <w:r>
        <w:rPr>
          <w:rFonts w:ascii="Arial" w:cs="Arial" w:eastAsia="Arial" w:hAnsi="Arial"/>
          <w:color w:val="1A1A1A"/>
          <w:sz w:val="20"/>
          <w:szCs w:val="20"/>
        </w:rPr>
        <w:t xml:space="preserve">Die Filterleiste ist immer sichtbar und filtert die Ansicht in allen Tabs gleichzeitig. Alle Filter sind optional – ohne Auswahl werden alle Daten angezeigt.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7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Zeigt nur Mitarbeiter des gewählten Teams (Mehrfachauswahl möglich)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Schränkt den Zeitraum auf das gewählte PI ein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Iteration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Zeigt nur die gewählte Iteration (abhängig vom gewählten 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Jahr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Filtert nach Kalenderjahr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Zeitraum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Freies Von/Bis-Datum überschreibt PI/Iterations-Filter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Zurücksetzen</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Setzt alle Filter zurück auf "Alle"</w:t>
            </w:r>
          </w:p>
        </w:tc>
      </w:tr>
    </w:tbl>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3. Planung – Kalenderansicht</w:t>
      </w:r>
    </w:p>
    <w:p>
      <w:pPr>
        <w:pStyle w:val="Heading2"/>
        <w:spacing w:before="300" w:after="120"/>
      </w:pPr>
      <w:r>
        <w:rPr>
          <w:rFonts w:ascii="Arial" w:cs="Arial" w:eastAsia="Arial" w:hAnsi="Arial"/>
          <w:b/>
          <w:bCs/>
          <w:color w:val="003F7F"/>
          <w:sz w:val="26"/>
          <w:szCs w:val="26"/>
        </w:rPr>
        <w:t xml:space="preserve">3.1 Kalender lesen</w:t>
      </w:r>
    </w:p>
    <w:p>
      <w:pPr>
        <w:spacing w:after="120"/>
      </w:pPr>
      <w:r>
        <w:rPr>
          <w:rFonts w:ascii="Arial" w:cs="Arial" w:eastAsia="Arial" w:hAnsi="Arial"/>
          <w:color w:val="1A1A1A"/>
          <w:sz w:val="20"/>
          <w:szCs w:val="20"/>
        </w:rPr>
        <w:t xml:space="preserve">Der Kalender zeigt alle Mitarbeiter als Zeilen und die Tage als Spalten. Der Header zeigt von oben nach unten: Monat, Kalenderwoche (KW), PI-Bezeichnung, Iterations-Bezeichnung, Tagesdatum mit Wochentag.</w:t>
      </w:r>
    </w:p>
    <w:p>
      <w:pPr>
        <w:spacing w:after="120"/>
      </w:pPr>
      <w:r>
        <w:rPr>
          <w:rFonts w:ascii="Arial" w:cs="Arial" w:eastAsia="Arial" w:hAnsi="Arial"/>
          <w:color w:val="1A1A1A"/>
          <w:sz w:val="20"/>
          <w:szCs w:val="20"/>
        </w:rPr>
        <w:t xml:space="preserve">Farbliche Hervorhebungen im Header:</w:t>
      </w:r>
    </w:p>
    <w:p>
      <w:pPr>
        <w:pStyle w:val="ListParagraph"/>
        <w:numPr>
          <w:ilvl w:val="0"/>
          <w:numId w:val="2"/>
        </w:numPr>
        <w:spacing w:after="60"/>
      </w:pPr>
      <w:r>
        <w:rPr>
          <w:rFonts w:ascii="Arial" w:cs="Arial" w:eastAsia="Arial" w:hAnsi="Arial"/>
          <w:color w:val="1A1A1A"/>
          <w:sz w:val="20"/>
          <w:szCs w:val="20"/>
        </w:rPr>
        <w:t xml:space="preserve">Roter, fetter Text: Heutiger Tag</w:t>
      </w:r>
    </w:p>
    <w:p>
      <w:pPr>
        <w:pStyle w:val="ListParagraph"/>
        <w:numPr>
          <w:ilvl w:val="0"/>
          <w:numId w:val="2"/>
        </w:numPr>
        <w:spacing w:after="60"/>
      </w:pPr>
      <w:r>
        <w:rPr>
          <w:rFonts w:ascii="Arial" w:cs="Arial" w:eastAsia="Arial" w:hAnsi="Arial"/>
          <w:color w:val="1A1A1A"/>
          <w:sz w:val="20"/>
          <w:szCs w:val="20"/>
        </w:rPr>
        <w:t xml:space="preserve">Hellblaue Spalte mit ❄️: Change-Freeze / Blocker-Tag</w:t>
      </w:r>
    </w:p>
    <w:p>
      <w:pPr>
        <w:pStyle w:val="ListParagraph"/>
        <w:numPr>
          <w:ilvl w:val="0"/>
          <w:numId w:val="2"/>
        </w:numPr>
        <w:spacing w:after="60"/>
      </w:pPr>
      <w:r>
        <w:rPr>
          <w:rFonts w:ascii="Arial" w:cs="Arial" w:eastAsia="Arial" w:hAnsi="Arial"/>
          <w:color w:val="1A1A1A"/>
          <w:sz w:val="20"/>
          <w:szCs w:val="20"/>
        </w:rPr>
        <w:t xml:space="preserve">Graue Spalte: Wochenende (nicht buchbar)</w:t>
      </w:r>
    </w:p>
    <w:p>
      <w:pPr>
        <w:pStyle w:val="ListParagraph"/>
        <w:numPr>
          <w:ilvl w:val="0"/>
          <w:numId w:val="2"/>
        </w:numPr>
        <w:spacing w:after="60"/>
      </w:pPr>
      <w:r>
        <w:rPr>
          <w:rFonts w:ascii="Arial" w:cs="Arial" w:eastAsia="Arial" w:hAnsi="Arial"/>
          <w:color w:val="1A1A1A"/>
          <w:sz w:val="20"/>
          <w:szCs w:val="20"/>
        </w:rPr>
        <w:t xml:space="preserve">Hellgraue Spalte: Feiertag (nicht buchbar für normale Buchungen)</w:t>
      </w:r>
    </w:p>
    <w:p>
      <w:pPr>
        <w:pStyle w:val="Heading2"/>
        <w:spacing w:before="300" w:after="120"/>
      </w:pPr>
      <w:r>
        <w:rPr>
          <w:rFonts w:ascii="Arial" w:cs="Arial" w:eastAsia="Arial" w:hAnsi="Arial"/>
          <w:b/>
          <w:bCs/>
          <w:color w:val="003F7F"/>
          <w:sz w:val="26"/>
          <w:szCs w:val="26"/>
        </w:rPr>
        <w:t xml:space="preserve">3.2 Buchungstyp wählen</w:t>
      </w:r>
    </w:p>
    <w:p>
      <w:pPr>
        <w:spacing w:after="120"/>
      </w:pPr>
      <w:r>
        <w:rPr>
          <w:rFonts w:ascii="Arial" w:cs="Arial" w:eastAsia="Arial" w:hAnsi="Arial"/>
          <w:color w:val="1A1A1A"/>
          <w:sz w:val="20"/>
          <w:szCs w:val="20"/>
        </w:rPr>
        <w:t xml:space="preserve">Unterhalb des Kalenders befindet sich die Legende. Klicken Sie auf einen Buchungstyp, um ihn zu aktivieren (aktiver Typ ist umrahmt). Der aktive Typ wird beim nächsten Klick/Drag auf den Kalender gesetzt.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26"/>
      </w:tblGrid>
      <w:tr>
        <w:tc>
          <w:tcPr>
            <w:tcW w:type="dxa" w:w="8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Kürzel</w:t>
            </w:r>
          </w:p>
        </w:tc>
        <w:tc>
          <w:tcPr>
            <w:tcW w:type="dxa" w:w="4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Bezeichnung</w:t>
            </w:r>
          </w:p>
        </w:tc>
        <w:tc>
          <w:tcPr>
            <w:tcW w:type="dxa" w:w="42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Farbe / Bedeutung</w:t>
            </w:r>
          </w:p>
        </w:tc>
      </w:tr>
      <w:tr>
        <w:tc>
          <w:tcPr>
            <w:tcW w:type="dxa" w:w="800"/>
            <w:tcBorders>
              <w:top w:val="single" w:color="CCCCCC" w:sz="1"/>
              <w:left w:val="single" w:color="CCCCCC" w:sz="1"/>
              <w:bottom w:val="single" w:color="CCCCCC" w:sz="1"/>
              <w:right w:val="single" w:color="CCCCCC" w:sz="1"/>
            </w:tcBorders>
            <w:shd w:fill="FB923C"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Ferien/Frei</w:t>
            </w:r>
          </w:p>
        </w:tc>
        <w:tc>
          <w:tcPr>
            <w:tcW w:type="dxa" w:w="4226"/>
            <w:tcBorders>
              <w:top w:val="single" w:color="CCCCCC" w:sz="1"/>
              <w:left w:val="single" w:color="CCCCCC" w:sz="1"/>
              <w:bottom w:val="single" w:color="CCCCCC" w:sz="1"/>
              <w:right w:val="single" w:color="CCCCCC" w:sz="1"/>
            </w:tcBorders>
            <w:shd w:fill="FB923C" w:val="clear"/>
            <w:tcMar>
              <w:top w:type="dxa" w:w="60"/>
              <w:left w:type="dxa" w:w="120"/>
              <w:bottom w:type="dxa" w:w="60"/>
              <w:right w:type="dxa" w:w="120"/>
            </w:tcMar>
          </w:tcPr>
          <w:p>
            <w:r>
              <w:rPr>
                <w:rFonts w:ascii="Courier New" w:cs="Courier New" w:eastAsia="Courier New" w:hAnsi="Courier New"/>
                <w:color w:val="1A1A1A"/>
                <w:sz w:val="18"/>
                <w:szCs w:val="18"/>
              </w:rPr>
              <w:t xml:space="preserve">#FB923C / #FFFFFF</w:t>
            </w:r>
          </w:p>
        </w:tc>
      </w:tr>
      <w:tr>
        <w:tc>
          <w:tcPr>
            <w:tcW w:type="dxa" w:w="800"/>
            <w:tcBorders>
              <w:top w:val="single" w:color="CCCCCC" w:sz="1"/>
              <w:left w:val="single" w:color="CCCCCC" w:sz="1"/>
              <w:bottom w:val="single" w:color="CCCCCC" w:sz="1"/>
              <w:right w:val="single" w:color="CCCCCC" w:sz="1"/>
            </w:tcBorders>
            <w:shd w:fill="6B728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Abwesenheit (Arbeitspensum, Sonstiges)</w:t>
            </w:r>
          </w:p>
        </w:tc>
        <w:tc>
          <w:tcPr>
            <w:tcW w:type="dxa" w:w="4226"/>
            <w:tcBorders>
              <w:top w:val="single" w:color="CCCCCC" w:sz="1"/>
              <w:left w:val="single" w:color="CCCCCC" w:sz="1"/>
              <w:bottom w:val="single" w:color="CCCCCC" w:sz="1"/>
              <w:right w:val="single" w:color="CCCCCC" w:sz="1"/>
            </w:tcBorders>
            <w:shd w:fill="6B7280" w:val="clear"/>
            <w:tcMar>
              <w:top w:type="dxa" w:w="60"/>
              <w:left w:type="dxa" w:w="120"/>
              <w:bottom w:type="dxa" w:w="60"/>
              <w:right w:type="dxa" w:w="120"/>
            </w:tcMar>
          </w:tcPr>
          <w:p>
            <w:r>
              <w:rPr>
                <w:rFonts w:ascii="Courier New" w:cs="Courier New" w:eastAsia="Courier New" w:hAnsi="Courier New"/>
                <w:color w:val="1A1A1A"/>
                <w:sz w:val="18"/>
                <w:szCs w:val="18"/>
              </w:rPr>
              <w:t xml:space="preserve">#6B7280 / #FFFFFF</w:t>
            </w:r>
          </w:p>
        </w:tc>
      </w:tr>
      <w:tr>
        <w:tc>
          <w:tcPr>
            <w:tcW w:type="dxa" w:w="800"/>
            <w:tcBorders>
              <w:top w:val="single" w:color="CCCCCC" w:sz="1"/>
              <w:left w:val="single" w:color="CCCCCC" w:sz="1"/>
              <w:bottom w:val="single" w:color="CCCCCC" w:sz="1"/>
              <w:right w:val="single" w:color="CCCCCC" w:sz="1"/>
            </w:tcBorders>
            <w:shd w:fill="FDE68A"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Teilzeit (Halber Tag abwesend) = 0.5 SP</w:t>
            </w:r>
          </w:p>
        </w:tc>
        <w:tc>
          <w:tcPr>
            <w:tcW w:type="dxa" w:w="4226"/>
            <w:tcBorders>
              <w:top w:val="single" w:color="CCCCCC" w:sz="1"/>
              <w:left w:val="single" w:color="CCCCCC" w:sz="1"/>
              <w:bottom w:val="single" w:color="CCCCCC" w:sz="1"/>
              <w:right w:val="single" w:color="CCCCCC" w:sz="1"/>
            </w:tcBorders>
            <w:shd w:fill="FDE68A" w:val="clear"/>
            <w:tcMar>
              <w:top w:type="dxa" w:w="60"/>
              <w:left w:type="dxa" w:w="120"/>
              <w:bottom w:type="dxa" w:w="60"/>
              <w:right w:type="dxa" w:w="120"/>
            </w:tcMar>
          </w:tcPr>
          <w:p>
            <w:r>
              <w:rPr>
                <w:rFonts w:ascii="Courier New" w:cs="Courier New" w:eastAsia="Courier New" w:hAnsi="Courier New"/>
                <w:color w:val="1A1A1A"/>
                <w:sz w:val="18"/>
                <w:szCs w:val="18"/>
              </w:rPr>
              <w:t xml:space="preserve">#FDE68A / #1A1A1A</w:t>
            </w:r>
          </w:p>
        </w:tc>
      </w:tr>
      <w:tr>
        <w:tc>
          <w:tcPr>
            <w:tcW w:type="dxa" w:w="800"/>
            <w:tcBorders>
              <w:top w:val="single" w:color="CCCCCC" w:sz="1"/>
              <w:left w:val="single" w:color="CCCCCC" w:sz="1"/>
              <w:bottom w:val="single" w:color="CCCCCC" w:sz="1"/>
              <w:right w:val="single" w:color="CCCCCC" w:sz="1"/>
            </w:tcBorders>
            <w:shd w:fill="84CC16"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Militär / Zivildienst</w:t>
            </w:r>
          </w:p>
        </w:tc>
        <w:tc>
          <w:tcPr>
            <w:tcW w:type="dxa" w:w="4226"/>
            <w:tcBorders>
              <w:top w:val="single" w:color="CCCCCC" w:sz="1"/>
              <w:left w:val="single" w:color="CCCCCC" w:sz="1"/>
              <w:bottom w:val="single" w:color="CCCCCC" w:sz="1"/>
              <w:right w:val="single" w:color="CCCCCC" w:sz="1"/>
            </w:tcBorders>
            <w:shd w:fill="84CC16" w:val="clear"/>
            <w:tcMar>
              <w:top w:type="dxa" w:w="60"/>
              <w:left w:type="dxa" w:w="120"/>
              <w:bottom w:type="dxa" w:w="60"/>
              <w:right w:type="dxa" w:w="120"/>
            </w:tcMar>
          </w:tcPr>
          <w:p>
            <w:r>
              <w:rPr>
                <w:rFonts w:ascii="Courier New" w:cs="Courier New" w:eastAsia="Courier New" w:hAnsi="Courier New"/>
                <w:color w:val="1A1A1A"/>
                <w:sz w:val="18"/>
                <w:szCs w:val="18"/>
              </w:rPr>
              <w:t xml:space="preserve">#84CC16 / #FFFFFF</w:t>
            </w:r>
          </w:p>
        </w:tc>
      </w:tr>
      <w:tr>
        <w:tc>
          <w:tcPr>
            <w:tcW w:type="dxa" w:w="800"/>
            <w:tcBorders>
              <w:top w:val="single" w:color="CCCCCC" w:sz="1"/>
              <w:left w:val="single" w:color="CCCCCC" w:sz="1"/>
              <w:bottom w:val="single" w:color="CCCCCC" w:sz="1"/>
              <w:right w:val="single" w:color="CCCCCC" w:sz="1"/>
            </w:tcBorders>
            <w:shd w:fill="A78BF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IPA (Individuelle Praktische Arbeit)</w:t>
            </w:r>
          </w:p>
        </w:tc>
        <w:tc>
          <w:tcPr>
            <w:tcW w:type="dxa" w:w="4226"/>
            <w:tcBorders>
              <w:top w:val="single" w:color="CCCCCC" w:sz="1"/>
              <w:left w:val="single" w:color="CCCCCC" w:sz="1"/>
              <w:bottom w:val="single" w:color="CCCCCC" w:sz="1"/>
              <w:right w:val="single" w:color="CCCCCC" w:sz="1"/>
            </w:tcBorders>
            <w:shd w:fill="A78BFA" w:val="clear"/>
            <w:tcMar>
              <w:top w:type="dxa" w:w="60"/>
              <w:left w:type="dxa" w:w="120"/>
              <w:bottom w:type="dxa" w:w="60"/>
              <w:right w:type="dxa" w:w="120"/>
            </w:tcMar>
          </w:tcPr>
          <w:p>
            <w:r>
              <w:rPr>
                <w:rFonts w:ascii="Courier New" w:cs="Courier New" w:eastAsia="Courier New" w:hAnsi="Courier New"/>
                <w:color w:val="1A1A1A"/>
                <w:sz w:val="18"/>
                <w:szCs w:val="18"/>
              </w:rPr>
              <w:t xml:space="preserve">#A78BFA / #FFFFFF</w:t>
            </w:r>
          </w:p>
        </w:tc>
      </w:tr>
      <w:tr>
        <w:tc>
          <w:tcPr>
            <w:tcW w:type="dxa" w:w="800"/>
            <w:tcBorders>
              <w:top w:val="single" w:color="CCCCCC" w:sz="1"/>
              <w:left w:val="single" w:color="CCCCCC" w:sz="1"/>
              <w:bottom w:val="single" w:color="CCCCCC" w:sz="1"/>
              <w:right w:val="single" w:color="CCCCCC" w:sz="1"/>
            </w:tcBorders>
            <w:shd w:fill="60A5F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(zählt als Arbeitstag, wird separat ausgewiesen)</w:t>
            </w:r>
          </w:p>
        </w:tc>
        <w:tc>
          <w:tcPr>
            <w:tcW w:type="dxa" w:w="4226"/>
            <w:tcBorders>
              <w:top w:val="single" w:color="CCCCCC" w:sz="1"/>
              <w:left w:val="single" w:color="CCCCCC" w:sz="1"/>
              <w:bottom w:val="single" w:color="CCCCCC" w:sz="1"/>
              <w:right w:val="single" w:color="CCCCCC" w:sz="1"/>
            </w:tcBorders>
            <w:shd w:fill="60A5FA" w:val="clear"/>
            <w:tcMar>
              <w:top w:type="dxa" w:w="60"/>
              <w:left w:type="dxa" w:w="120"/>
              <w:bottom w:type="dxa" w:w="60"/>
              <w:right w:type="dxa" w:w="120"/>
            </w:tcMar>
          </w:tcPr>
          <w:p>
            <w:r>
              <w:rPr>
                <w:rFonts w:ascii="Courier New" w:cs="Courier New" w:eastAsia="Courier New" w:hAnsi="Courier New"/>
                <w:color w:val="1A1A1A"/>
                <w:sz w:val="18"/>
                <w:szCs w:val="18"/>
              </w:rPr>
              <w:t xml:space="preserve">#60A5FA / #FFFFFF</w:t>
            </w:r>
          </w:p>
        </w:tc>
      </w:tr>
      <w:tr>
        <w:tc>
          <w:tcPr>
            <w:tcW w:type="dxa" w:w="800"/>
            <w:tcBorders>
              <w:top w:val="single" w:color="CCCCCC" w:sz="1"/>
              <w:left w:val="single" w:color="CCCCCC" w:sz="1"/>
              <w:bottom w:val="single" w:color="CCCCCC" w:sz="1"/>
              <w:right w:val="single" w:color="CCCCCC" w:sz="1"/>
            </w:tcBorders>
            <w:shd w:fill="7C3AE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BP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und Pikett</w:t>
            </w:r>
          </w:p>
        </w:tc>
        <w:tc>
          <w:tcPr>
            <w:tcW w:type="dxa" w:w="4226"/>
            <w:tcBorders>
              <w:top w:val="single" w:color="CCCCCC" w:sz="1"/>
              <w:left w:val="single" w:color="CCCCCC" w:sz="1"/>
              <w:bottom w:val="single" w:color="CCCCCC" w:sz="1"/>
              <w:right w:val="single" w:color="CCCCCC" w:sz="1"/>
            </w:tcBorders>
            <w:shd w:fill="7C3AED" w:val="clear"/>
            <w:tcMar>
              <w:top w:type="dxa" w:w="60"/>
              <w:left w:type="dxa" w:w="120"/>
              <w:bottom w:type="dxa" w:w="60"/>
              <w:right w:type="dxa" w:w="120"/>
            </w:tcMar>
          </w:tcPr>
          <w:p>
            <w:r>
              <w:rPr>
                <w:rFonts w:ascii="Courier New" w:cs="Courier New" w:eastAsia="Courier New" w:hAnsi="Courier New"/>
                <w:color w:val="1A1A1A"/>
                <w:sz w:val="18"/>
                <w:szCs w:val="18"/>
              </w:rPr>
              <w:t xml:space="preserve">#7C3AED / #FFFFFF</w:t>
            </w:r>
          </w:p>
        </w:tc>
      </w:tr>
      <w:tr>
        <w:tc>
          <w:tcPr>
            <w:tcW w:type="dxa" w:w="800"/>
            <w:tcBorders>
              <w:top w:val="single" w:color="CCCCCC" w:sz="1"/>
              <w:left w:val="single" w:color="CCCCCC" w:sz="1"/>
              <w:bottom w:val="single" w:color="CCCCCC" w:sz="1"/>
              <w:right w:val="single" w:color="CCCCCC" w:sz="1"/>
            </w:tcBorders>
            <w:shd w:fill="F9A8D4"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Pikett</w:t>
            </w:r>
          </w:p>
        </w:tc>
        <w:tc>
          <w:tcPr>
            <w:tcW w:type="dxa" w:w="4226"/>
            <w:tcBorders>
              <w:top w:val="single" w:color="CCCCCC" w:sz="1"/>
              <w:left w:val="single" w:color="CCCCCC" w:sz="1"/>
              <w:bottom w:val="single" w:color="CCCCCC" w:sz="1"/>
              <w:right w:val="single" w:color="CCCCCC" w:sz="1"/>
            </w:tcBorders>
            <w:shd w:fill="F9A8D4" w:val="clear"/>
            <w:tcMar>
              <w:top w:type="dxa" w:w="60"/>
              <w:left w:type="dxa" w:w="120"/>
              <w:bottom w:type="dxa" w:w="60"/>
              <w:right w:type="dxa" w:w="120"/>
            </w:tcMar>
          </w:tcPr>
          <w:p>
            <w:r>
              <w:rPr>
                <w:rFonts w:ascii="Courier New" w:cs="Courier New" w:eastAsia="Courier New" w:hAnsi="Courier New"/>
                <w:color w:val="1A1A1A"/>
                <w:sz w:val="18"/>
                <w:szCs w:val="18"/>
              </w:rPr>
              <w:t xml:space="preserve">#F9A8D4 / #1A1A1A</w:t>
            </w:r>
          </w:p>
        </w:tc>
      </w:tr>
    </w:tbl>
    <w:p>
      <w:pPr>
        <w:pStyle w:val="Heading2"/>
        <w:spacing w:before="300" w:after="120"/>
      </w:pPr>
      <w:r>
        <w:rPr>
          <w:rFonts w:ascii="Arial" w:cs="Arial" w:eastAsia="Arial" w:hAnsi="Arial"/>
          <w:b/>
          <w:bCs/>
          <w:color w:val="003F7F"/>
          <w:sz w:val="26"/>
          <w:szCs w:val="26"/>
        </w:rPr>
        <w:t xml:space="preserve">3.3 Buchungen setzen</w:t>
      </w:r>
    </w:p>
    <w:p>
      <w:pPr>
        <w:pStyle w:val="Heading3"/>
        <w:spacing w:before="200" w:after="80"/>
      </w:pPr>
      <w:r>
        <w:rPr>
          <w:rFonts w:ascii="Arial" w:cs="Arial" w:eastAsia="Arial" w:hAnsi="Arial"/>
          <w:b/>
          <w:bCs/>
          <w:color w:val="1A1A1A"/>
          <w:sz w:val="22"/>
          <w:szCs w:val="22"/>
        </w:rPr>
        <w:t xml:space="preserve">Einzelklick</w:t>
      </w:r>
    </w:p>
    <w:p>
      <w:pPr>
        <w:spacing w:after="120"/>
      </w:pPr>
      <w:r>
        <w:rPr>
          <w:rFonts w:ascii="Arial" w:cs="Arial" w:eastAsia="Arial" w:hAnsi="Arial"/>
          <w:color w:val="1A1A1A"/>
          <w:sz w:val="20"/>
          <w:szCs w:val="20"/>
        </w:rPr>
        <w:t xml:space="preserve">Klicken Sie auf eine leere Zelle, um den aktiven Buchungstyp zu setzen. Die Zelle färbt sich sofort in der entsprechenden Farbe und zeigt den Kürzel-Buchstaben.</w:t>
      </w:r>
    </w:p>
    <w:p>
      <w:pPr>
        <w:pStyle w:val="Heading3"/>
        <w:spacing w:before="200" w:after="80"/>
      </w:pPr>
      <w:r>
        <w:rPr>
          <w:rFonts w:ascii="Arial" w:cs="Arial" w:eastAsia="Arial" w:hAnsi="Arial"/>
          <w:b/>
          <w:bCs/>
          <w:color w:val="1A1A1A"/>
          <w:sz w:val="22"/>
          <w:szCs w:val="22"/>
        </w:rPr>
        <w:t xml:space="preserve">Drag (mehrere Tage)</w:t>
      </w:r>
    </w:p>
    <w:p>
      <w:pPr>
        <w:spacing w:after="120"/>
      </w:pPr>
      <w:r>
        <w:rPr>
          <w:rFonts w:ascii="Arial" w:cs="Arial" w:eastAsia="Arial" w:hAnsi="Arial"/>
          <w:color w:val="1A1A1A"/>
          <w:sz w:val="20"/>
          <w:szCs w:val="20"/>
        </w:rPr>
        <w:t xml:space="preserve">Halten Sie die Maustaste gedrückt und ziehen Sie horizontal über mehrere Tage einer Mitarbeiter-Zeile. Alle Zellen zwischen Start und Ende werden mit dem aktiven Buchungstyp befüllt. Das Ziehen funktioniert nur horizontal (innerhalb einer Mitarbeiter-Zeile).</w:t>
      </w:r>
    </w:p>
    <w:p>
      <w:pPr>
        <w:pStyle w:val="Heading3"/>
        <w:spacing w:before="200" w:after="80"/>
      </w:pPr>
      <w:r>
        <w:rPr>
          <w:rFonts w:ascii="Arial" w:cs="Arial" w:eastAsia="Arial" w:hAnsi="Arial"/>
          <w:b/>
          <w:bCs/>
          <w:color w:val="1A1A1A"/>
          <w:sz w:val="22"/>
          <w:szCs w:val="22"/>
        </w:rPr>
        <w:t xml:space="preserve">Buchung löschen</w:t>
      </w:r>
    </w:p>
    <w:p>
      <w:pPr>
        <w:spacing w:after="120"/>
      </w:pPr>
      <w:r>
        <w:rPr>
          <w:rFonts w:ascii="Arial" w:cs="Arial" w:eastAsia="Arial" w:hAnsi="Arial"/>
          <w:color w:val="1A1A1A"/>
          <w:sz w:val="20"/>
          <w:szCs w:val="20"/>
        </w:rPr>
        <w:t xml:space="preserve">Klicken Sie auf eine bereits gebuchte Zelle mit gleichem aktiven Buchungstyp – die Buchung wird gelöscht. Alternativ: Wählen Sie in der Toolbar "Alle Buchungen löschen" für einen Mitarbeiter oder alle.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Tipp: Wochenenden und offizielle Feiertage sind nicht buchbar für normale Absenzen. Pikett und Betrieb+Pikett können auch an Wochenenden/Feiertagen gebucht werden (7x24-Verfügbarkeit).</w:t>
            </w:r>
          </w:p>
        </w:tc>
      </w:tr>
    </w:tbl>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4. Kapazität – Story Point Berechnung</w:t>
      </w:r>
    </w:p>
    <w:p>
      <w:pPr>
        <w:pStyle w:val="Heading2"/>
        <w:spacing w:before="300" w:after="120"/>
      </w:pPr>
      <w:r>
        <w:rPr>
          <w:rFonts w:ascii="Arial" w:cs="Arial" w:eastAsia="Arial" w:hAnsi="Arial"/>
          <w:b/>
          <w:bCs/>
          <w:color w:val="003F7F"/>
          <w:sz w:val="26"/>
          <w:szCs w:val="26"/>
        </w:rPr>
        <w:t xml:space="preserve">4.1 Berechnungslogik</w:t>
      </w:r>
    </w:p>
    <w:p>
      <w:pPr>
        <w:spacing w:after="120"/>
      </w:pPr>
      <w:r>
        <w:rPr>
          <w:rFonts w:ascii="Arial" w:cs="Arial" w:eastAsia="Arial" w:hAnsi="Arial"/>
          <w:color w:val="1A1A1A"/>
          <w:sz w:val="20"/>
          <w:szCs w:val="20"/>
        </w:rPr>
        <w:t xml:space="preserve">Die Kapazitätsberechnung erfolgt automatisch basierend auf den Buchungen im Kalender. Für jeden Mitarbeiter und Arbeitstag im gewählten Zeitraum gilt: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Buchungstyp</w:t>
            </w:r>
          </w:p>
        </w:tc>
        <w:tc>
          <w:tcPr>
            <w:tcW w:type="dxa" w:w="3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SP-Faktor</w:t>
            </w:r>
          </w:p>
        </w:tc>
        <w:tc>
          <w:tcPr>
            <w:tcW w:type="dxa" w:w="3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Erläuterung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Kein Eintrag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Voller Arbeitstag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Teilzeit (T)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Halber Tag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Ferien, Abwesend, Militär, IPA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Kein Beitrag zur Kapazität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Pikett, Betrieb+Pikett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(brutto)</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Zählt als Arbeitstag, Betrieb-% wird separat abgezogen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Feiertag / Wochenende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Nicht gezählt</w:t>
            </w:r>
          </w:p>
        </w:tc>
      </w:tr>
    </w:tbl>
    <w:p>
      <w:pPr>
        <w:spacing w:after="120"/>
      </w:pPr>
    </w:p>
    <w:p>
      <w:pPr>
        <w:spacing w:after="120"/>
      </w:pPr>
      <w:r>
        <w:rPr>
          <w:rFonts w:ascii="Arial" w:cs="Arial" w:eastAsia="Arial" w:hAnsi="Arial"/>
          <w:color w:val="1A1A1A"/>
          <w:sz w:val="20"/>
          <w:szCs w:val="20"/>
        </w:rPr>
        <w:t xml:space="preserve">Zusätzliche Abzüge pro Mitarbeiter (konfigurierbar in Einstellungen → Mitarbeiter):</w:t>
      </w:r>
    </w:p>
    <w:p>
      <w:pPr>
        <w:pStyle w:val="ListParagraph"/>
        <w:numPr>
          <w:ilvl w:val="0"/>
          <w:numId w:val="2"/>
        </w:numPr>
        <w:spacing w:after="60"/>
      </w:pPr>
      <w:r>
        <w:rPr>
          <w:rFonts w:ascii="Arial" w:cs="Arial" w:eastAsia="Arial" w:hAnsi="Arial"/>
          <w:color w:val="1A1A1A"/>
          <w:sz w:val="20"/>
          <w:szCs w:val="20"/>
        </w:rPr>
        <w:t xml:space="preserve">FTE-Faktor: z.B. 80% FTE = 0.8 * Basis-SP</w:t>
      </w:r>
    </w:p>
    <w:p>
      <w:pPr>
        <w:pStyle w:val="ListParagraph"/>
        <w:numPr>
          <w:ilvl w:val="0"/>
          <w:numId w:val="2"/>
        </w:numPr>
        <w:spacing w:after="60"/>
      </w:pPr>
      <w:r>
        <w:rPr>
          <w:rFonts w:ascii="Arial" w:cs="Arial" w:eastAsia="Arial" w:hAnsi="Arial"/>
          <w:color w:val="1A1A1A"/>
          <w:sz w:val="20"/>
          <w:szCs w:val="20"/>
        </w:rPr>
        <w:t xml:space="preserve">Betrieb %: Anteil für Betriebsaufgaben (wird vom Netto abgezogen)</w:t>
      </w:r>
    </w:p>
    <w:p>
      <w:pPr>
        <w:pStyle w:val="ListParagraph"/>
        <w:numPr>
          <w:ilvl w:val="0"/>
          <w:numId w:val="2"/>
        </w:numPr>
        <w:spacing w:after="60"/>
      </w:pPr>
      <w:r>
        <w:rPr>
          <w:rFonts w:ascii="Arial" w:cs="Arial" w:eastAsia="Arial" w:hAnsi="Arial"/>
          <w:color w:val="1A1A1A"/>
          <w:sz w:val="20"/>
          <w:szCs w:val="20"/>
        </w:rPr>
        <w:t xml:space="preserve">Pauschale %: Anteil für administrative Tätigkeiten (wird vom Netto abgezogen)</w:t>
      </w:r>
    </w:p>
    <w:p>
      <w:pPr>
        <w:pStyle w:val="Heading2"/>
        <w:spacing w:before="300" w:after="120"/>
      </w:pPr>
      <w:r>
        <w:rPr>
          <w:rFonts w:ascii="Arial" w:cs="Arial" w:eastAsia="Arial" w:hAnsi="Arial"/>
          <w:b/>
          <w:bCs/>
          <w:color w:val="003F7F"/>
          <w:sz w:val="26"/>
          <w:szCs w:val="26"/>
        </w:rPr>
        <w:t xml:space="preserve">4.2 Kapazitäts-Tabelle lesen</w:t>
      </w:r>
    </w:p>
    <w:p>
      <w:pPr>
        <w:spacing w:after="120"/>
      </w:pPr>
      <w:r>
        <w:rPr>
          <w:rFonts w:ascii="Arial" w:cs="Arial" w:eastAsia="Arial" w:hAnsi="Arial"/>
          <w:color w:val="1A1A1A"/>
          <w:sz w:val="20"/>
          <w:szCs w:val="20"/>
        </w:rPr>
        <w:t xml:space="preserve">Die Tabelle zeigt pro Mitarbeiter: Arbeitstage, Abwesenheitstage aufgeschlüsselt nach Typ, und die verfügbaren Story Points. Team-Summenzeilen fassen die Werte zusammen.</w:t>
      </w:r>
    </w:p>
    <w:p>
      <w:pPr>
        <w:spacing w:after="120"/>
      </w:pPr>
      <w:r>
        <w:rPr>
          <w:rFonts w:ascii="Arial" w:cs="Arial" w:eastAsia="Arial" w:hAnsi="Arial"/>
          <w:color w:val="1A1A1A"/>
          <w:sz w:val="20"/>
          <w:szCs w:val="20"/>
        </w:rPr>
        <w:t xml:space="preserve">Farbliche Markierungen in der Tabelle:</w:t>
      </w:r>
    </w:p>
    <w:p>
      <w:pPr>
        <w:pStyle w:val="ListParagraph"/>
        <w:numPr>
          <w:ilvl w:val="0"/>
          <w:numId w:val="2"/>
        </w:numPr>
        <w:spacing w:after="60"/>
      </w:pPr>
      <w:r>
        <w:rPr>
          <w:rFonts w:ascii="Arial" w:cs="Arial" w:eastAsia="Arial" w:hAnsi="Arial"/>
          <w:color w:val="1A1A1A"/>
          <w:sz w:val="20"/>
          <w:szCs w:val="20"/>
        </w:rPr>
        <w:t xml:space="preserve">Rot: Pikett-Lücke (weniger als die Zielanzahl Personen im Pikett-Dienst)</w:t>
      </w:r>
    </w:p>
    <w:p>
      <w:pPr>
        <w:pStyle w:val="ListParagraph"/>
        <w:numPr>
          <w:ilvl w:val="0"/>
          <w:numId w:val="2"/>
        </w:numPr>
        <w:spacing w:after="60"/>
      </w:pPr>
      <w:r>
        <w:rPr>
          <w:rFonts w:ascii="Arial" w:cs="Arial" w:eastAsia="Arial" w:hAnsi="Arial"/>
          <w:color w:val="1A1A1A"/>
          <w:sz w:val="20"/>
          <w:szCs w:val="20"/>
        </w:rPr>
        <w:t xml:space="preserve">Orange: Betrieb-Unterbesetzung (weniger als Zielanzahl Personen im Betrieb)</w:t>
      </w:r>
    </w:p>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5. Dashboard</w:t>
      </w:r>
    </w:p>
    <w:p>
      <w:pPr>
        <w:pStyle w:val="Heading2"/>
        <w:spacing w:before="300" w:after="120"/>
      </w:pPr>
      <w:r>
        <w:rPr>
          <w:rFonts w:ascii="Arial" w:cs="Arial" w:eastAsia="Arial" w:hAnsi="Arial"/>
          <w:b/>
          <w:bCs/>
          <w:color w:val="003F7F"/>
          <w:sz w:val="26"/>
          <w:szCs w:val="26"/>
        </w:rPr>
        <w:t xml:space="preserve">5.1 KPI-Karten</w:t>
      </w:r>
    </w:p>
    <w:p>
      <w:pPr>
        <w:spacing w:after="120"/>
      </w:pPr>
      <w:r>
        <w:rPr>
          <w:rFonts w:ascii="Arial" w:cs="Arial" w:eastAsia="Arial" w:hAnsi="Arial"/>
          <w:color w:val="1A1A1A"/>
          <w:sz w:val="20"/>
          <w:szCs w:val="20"/>
        </w:rPr>
        <w:t xml:space="preserve">Die vier Karten oben zeigen auf einen Blick:</w:t>
      </w:r>
    </w:p>
    <w:p>
      <w:pPr>
        <w:pStyle w:val="ListParagraph"/>
        <w:numPr>
          <w:ilvl w:val="0"/>
          <w:numId w:val="2"/>
        </w:numPr>
        <w:spacing w:after="60"/>
      </w:pPr>
      <w:r>
        <w:rPr>
          <w:rFonts w:ascii="Arial" w:cs="Arial" w:eastAsia="Arial" w:hAnsi="Arial"/>
          <w:color w:val="1A1A1A"/>
          <w:sz w:val="20"/>
          <w:szCs w:val="20"/>
        </w:rPr>
        <w:t xml:space="preserve">Gesamt-SP: Alle verfügbaren Story Points im gewählten Zeitraum</w:t>
      </w:r>
    </w:p>
    <w:p>
      <w:pPr>
        <w:pStyle w:val="ListParagraph"/>
        <w:numPr>
          <w:ilvl w:val="0"/>
          <w:numId w:val="2"/>
        </w:numPr>
        <w:spacing w:after="60"/>
      </w:pPr>
      <w:r>
        <w:rPr>
          <w:rFonts w:ascii="Arial" w:cs="Arial" w:eastAsia="Arial" w:hAnsi="Arial"/>
          <w:color w:val="1A1A1A"/>
          <w:sz w:val="20"/>
          <w:szCs w:val="20"/>
        </w:rPr>
        <w:t xml:space="preserve">Mitarbeiter: Anzahl geplanter Personen (gefiltert)</w:t>
      </w:r>
    </w:p>
    <w:p>
      <w:pPr>
        <w:pStyle w:val="ListParagraph"/>
        <w:numPr>
          <w:ilvl w:val="0"/>
          <w:numId w:val="2"/>
        </w:numPr>
        <w:spacing w:after="60"/>
      </w:pPr>
      <w:r>
        <w:rPr>
          <w:rFonts w:ascii="Arial" w:cs="Arial" w:eastAsia="Arial" w:hAnsi="Arial"/>
          <w:color w:val="1A1A1A"/>
          <w:sz w:val="20"/>
          <w:szCs w:val="20"/>
        </w:rPr>
        <w:t xml:space="preserve">Pikett-Lücken: Anzahl Tage mit Unterbesetzung im Pikett</w:t>
      </w:r>
    </w:p>
    <w:p>
      <w:pPr>
        <w:pStyle w:val="ListParagraph"/>
        <w:numPr>
          <w:ilvl w:val="0"/>
          <w:numId w:val="2"/>
        </w:numPr>
        <w:spacing w:after="60"/>
      </w:pPr>
      <w:r>
        <w:rPr>
          <w:rFonts w:ascii="Arial" w:cs="Arial" w:eastAsia="Arial" w:hAnsi="Arial"/>
          <w:color w:val="1A1A1A"/>
          <w:sz w:val="20"/>
          <w:szCs w:val="20"/>
        </w:rPr>
        <w:t xml:space="preserve">Betrieb-Lücken: Anzahl Tage mit Unterbesetzung im Betrieb</w:t>
      </w:r>
    </w:p>
    <w:p>
      <w:pPr>
        <w:pStyle w:val="Heading2"/>
        <w:spacing w:before="300" w:after="120"/>
      </w:pPr>
      <w:r>
        <w:rPr>
          <w:rFonts w:ascii="Arial" w:cs="Arial" w:eastAsia="Arial" w:hAnsi="Arial"/>
          <w:b/>
          <w:bCs/>
          <w:color w:val="003F7F"/>
          <w:sz w:val="26"/>
          <w:szCs w:val="26"/>
        </w:rPr>
        <w:t xml:space="preserve">5.2 Kapazitäts-Diagramm</w:t>
      </w:r>
    </w:p>
    <w:p>
      <w:pPr>
        <w:spacing w:after="120"/>
      </w:pPr>
      <w:r>
        <w:rPr>
          <w:rFonts w:ascii="Arial" w:cs="Arial" w:eastAsia="Arial" w:hAnsi="Arial"/>
          <w:color w:val="1A1A1A"/>
          <w:sz w:val="20"/>
          <w:szCs w:val="20"/>
        </w:rPr>
        <w:t xml:space="preserve">Das Balkendiagramm zeigt die verfügbaren Story Points pro Team und Iteration. Jedes Team hat eine eigene Farbe. Mit dem Mauszeiger über einem Balken erscheint ein Tooltip mit den genauen Werten.</w:t>
      </w:r>
    </w:p>
    <w:p>
      <w:pPr>
        <w:pStyle w:val="Heading2"/>
        <w:spacing w:before="300" w:after="120"/>
      </w:pPr>
      <w:r>
        <w:rPr>
          <w:rFonts w:ascii="Arial" w:cs="Arial" w:eastAsia="Arial" w:hAnsi="Arial"/>
          <w:b/>
          <w:bCs/>
          <w:color w:val="003F7F"/>
          <w:sz w:val="26"/>
          <w:szCs w:val="26"/>
        </w:rPr>
        <w:t xml:space="preserve">5.3 Absenz-Übersicht</w:t>
      </w:r>
    </w:p>
    <w:p>
      <w:pPr>
        <w:spacing w:after="120"/>
      </w:pPr>
      <w:r>
        <w:rPr>
          <w:rFonts w:ascii="Arial" w:cs="Arial" w:eastAsia="Arial" w:hAnsi="Arial"/>
          <w:color w:val="1A1A1A"/>
          <w:sz w:val="20"/>
          <w:szCs w:val="20"/>
        </w:rPr>
        <w:t xml:space="preserve">Die Tabelle zeigt pro Mitarbeiter die Anzahl Tage je Absenztyp im gewählten Zeitraum. Team-Summenzeilen aggregieren die Werte.</w:t>
      </w:r>
    </w:p>
    <w:p>
      <w:pPr>
        <w:pStyle w:val="Heading2"/>
        <w:spacing w:before="300" w:after="120"/>
      </w:pPr>
      <w:r>
        <w:rPr>
          <w:rFonts w:ascii="Arial" w:cs="Arial" w:eastAsia="Arial" w:hAnsi="Arial"/>
          <w:b/>
          <w:bCs/>
          <w:color w:val="003F7F"/>
          <w:sz w:val="26"/>
          <w:szCs w:val="26"/>
        </w:rPr>
        <w:t xml:space="preserve">5.4 Lücken-Anzeige</w:t>
      </w:r>
    </w:p>
    <w:p>
      <w:pPr>
        <w:spacing w:after="120"/>
      </w:pPr>
      <w:r>
        <w:rPr>
          <w:rFonts w:ascii="Arial" w:cs="Arial" w:eastAsia="Arial" w:hAnsi="Arial"/>
          <w:color w:val="1A1A1A"/>
          <w:sz w:val="20"/>
          <w:szCs w:val="20"/>
        </w:rPr>
        <w:t xml:space="preserve">Die Lückenliste zeigt alle Wochen, in denen die Mindestbesetzung für Pikett oder Betrieb nicht erreicht ist. Die Werte werden gegen die konfigurierten Zielwerte (Einstellungen → Team-Zielwerte) geprüft.</w:t>
      </w:r>
    </w:p>
    <w:p>
      <w:pPr>
        <w:pStyle w:val="ListParagraph"/>
        <w:numPr>
          <w:ilvl w:val="0"/>
          <w:numId w:val="2"/>
        </w:numPr>
        <w:spacing w:after="60"/>
      </w:pPr>
      <w:r>
        <w:rPr>
          <w:rFonts w:ascii="Arial" w:cs="Arial" w:eastAsia="Arial" w:hAnsi="Arial"/>
          <w:color w:val="1A1A1A"/>
          <w:sz w:val="20"/>
          <w:szCs w:val="20"/>
        </w:rPr>
        <w:t xml:space="preserve">Rote Einträge: Pikett-Lücke</w:t>
      </w:r>
    </w:p>
    <w:p>
      <w:pPr>
        <w:pStyle w:val="ListParagraph"/>
        <w:numPr>
          <w:ilvl w:val="0"/>
          <w:numId w:val="2"/>
        </w:numPr>
        <w:spacing w:after="60"/>
      </w:pPr>
      <w:r>
        <w:rPr>
          <w:rFonts w:ascii="Arial" w:cs="Arial" w:eastAsia="Arial" w:hAnsi="Arial"/>
          <w:color w:val="1A1A1A"/>
          <w:sz w:val="20"/>
          <w:szCs w:val="20"/>
        </w:rPr>
        <w:t xml:space="preserve">Orange Einträge: Betrieb-Unterbesetzung</w:t>
      </w:r>
    </w:p>
    <w:p>
      <w:pPr>
        <w:pStyle w:val="ListParagraph"/>
        <w:numPr>
          <w:ilvl w:val="0"/>
          <w:numId w:val="2"/>
        </w:numPr>
        <w:spacing w:after="60"/>
      </w:pPr>
      <w:r>
        <w:rPr>
          <w:rFonts w:ascii="Arial" w:cs="Arial" w:eastAsia="Arial" w:hAnsi="Arial"/>
          <w:color w:val="1A1A1A"/>
          <w:sz w:val="20"/>
          <w:szCs w:val="20"/>
        </w:rPr>
        <w:t xml:space="preserve">Grünes Checkmark: Keine Lücken im gewählten Zeitraum</w:t>
      </w:r>
    </w:p>
    <w:p>
      <w:pPr>
        <w:pStyle w:val="Heading2"/>
        <w:spacing w:before="300" w:after="120"/>
      </w:pPr>
      <w:r>
        <w:rPr>
          <w:rFonts w:ascii="Arial" w:cs="Arial" w:eastAsia="Arial" w:hAnsi="Arial"/>
          <w:b/>
          <w:bCs/>
          <w:color w:val="003F7F"/>
          <w:sz w:val="26"/>
          <w:szCs w:val="26"/>
        </w:rPr>
        <w:t xml:space="preserve">5.5 Export für Confluence</w:t>
      </w:r>
    </w:p>
    <w:p>
      <w:pPr>
        <w:spacing w:after="120"/>
      </w:pPr>
      <w:r>
        <w:rPr>
          <w:rFonts w:ascii="Arial" w:cs="Arial" w:eastAsia="Arial" w:hAnsi="Arial"/>
          <w:color w:val="1A1A1A"/>
          <w:sz w:val="20"/>
          <w:szCs w:val="20"/>
        </w:rPr>
        <w:t xml:space="preserve">Klicken Sie im Dashboard auf "Als PDF exportieren" oder "Als PNG exportieren", um die aktuelle Ansicht (mit aktivem Filter) zu exportieren. Die Datei wird automatisch heruntergeladen und kann direkt in Confluence eingefügt werden.</w:t>
      </w:r>
    </w:p>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6. Einstellungen</w:t>
      </w:r>
    </w:p>
    <w:p>
      <w:pPr>
        <w:pStyle w:val="Heading2"/>
        <w:spacing w:before="300" w:after="120"/>
      </w:pPr>
      <w:r>
        <w:rPr>
          <w:rFonts w:ascii="Arial" w:cs="Arial" w:eastAsia="Arial" w:hAnsi="Arial"/>
          <w:b/>
          <w:bCs/>
          <w:color w:val="003F7F"/>
          <w:sz w:val="26"/>
          <w:szCs w:val="26"/>
        </w:rPr>
        <w:t xml:space="preserve">6.1 Mitarbeiter</w:t>
      </w:r>
    </w:p>
    <w:p>
      <w:pPr>
        <w:spacing w:after="120"/>
      </w:pPr>
      <w:r>
        <w:rPr>
          <w:rFonts w:ascii="Arial" w:cs="Arial" w:eastAsia="Arial" w:hAnsi="Arial"/>
          <w:color w:val="1A1A1A"/>
          <w:sz w:val="20"/>
          <w:szCs w:val="20"/>
        </w:rPr>
        <w:t xml:space="preserve">Verwalten Sie den Mitarbeiterstamm für alle Teams. Felder: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Vorname / Name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Vollständiger Name des Mitarbeiters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Teamzugehörigkeit (NET, ACM, CON, PAF)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 = interne Mitarbeitende, eMA = externe Mitarbeitende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Beschäftigungsgrad als Dezimalzahl (1.0 = 100%, 0.8 = 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Kapazität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der Arbeitszeit der dem Team zur Verfügung steht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Betrieb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für Betriebsaufgaben (wird von SP abgezogen)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Pauschale %</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Prozentualer Anteil für admin./sonstige Tätigkeiten (wird von SP abgezogen)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SP/Tag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Story Points pro Arbeitstag (Standard: 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Validierung: Betrieb % + Pauschale % darf nicht grösser als Kapazität % sein. Die App zeigt eine Warnung wenn dieser Wert überschritten wird.</w:t>
            </w:r>
          </w:p>
        </w:tc>
      </w:tr>
    </w:tbl>
    <w:p>
      <w:pPr>
        <w:spacing w:after="120"/>
      </w:pPr>
    </w:p>
    <w:p>
      <w:pPr>
        <w:spacing w:after="120"/>
      </w:pPr>
      <w:r>
        <w:rPr>
          <w:rFonts w:ascii="Arial" w:cs="Arial" w:eastAsia="Arial" w:hAnsi="Arial"/>
          <w:color w:val="1A1A1A"/>
          <w:sz w:val="20"/>
          <w:szCs w:val="20"/>
        </w:rPr>
        <w:t xml:space="preserve">CSV-Import: Klicken Sie "CSV importieren" und wählen Sie eine Datei im Format: vorname;name;team;typ;fte;kapazitaetProzent;betriebProzent;pauschalProzent;spProTag</w:t>
      </w:r>
    </w:p>
    <w:p>
      <w:pPr>
        <w:pStyle w:val="Heading2"/>
        <w:spacing w:before="300" w:after="120"/>
      </w:pPr>
      <w:r>
        <w:rPr>
          <w:rFonts w:ascii="Arial" w:cs="Arial" w:eastAsia="Arial" w:hAnsi="Arial"/>
          <w:b/>
          <w:bCs/>
          <w:color w:val="003F7F"/>
          <w:sz w:val="26"/>
          <w:szCs w:val="26"/>
        </w:rPr>
        <w:t xml:space="preserve">6.2 PI-Planung</w:t>
      </w:r>
    </w:p>
    <w:p>
      <w:pPr>
        <w:spacing w:after="120"/>
      </w:pPr>
      <w:r>
        <w:rPr>
          <w:rFonts w:ascii="Arial" w:cs="Arial" w:eastAsia="Arial" w:hAnsi="Arial"/>
          <w:color w:val="1A1A1A"/>
          <w:sz w:val="20"/>
          <w:szCs w:val="20"/>
        </w:rPr>
        <w:t xml:space="preserve">Definieren Sie die Program Increments (PIs) und deren Iterationen. Jedes PI hat:</w:t>
      </w:r>
    </w:p>
    <w:p>
      <w:pPr>
        <w:pStyle w:val="ListParagraph"/>
        <w:numPr>
          <w:ilvl w:val="0"/>
          <w:numId w:val="2"/>
        </w:numPr>
        <w:spacing w:after="60"/>
      </w:pPr>
      <w:r>
        <w:rPr>
          <w:rFonts w:ascii="Arial" w:cs="Arial" w:eastAsia="Arial" w:hAnsi="Arial"/>
          <w:color w:val="1A1A1A"/>
          <w:sz w:val="20"/>
          <w:szCs w:val="20"/>
        </w:rPr>
        <w:t xml:space="preserve">Bezeichnung (z.B. PI26-1)</w:t>
      </w:r>
    </w:p>
    <w:p>
      <w:pPr>
        <w:pStyle w:val="ListParagraph"/>
        <w:numPr>
          <w:ilvl w:val="0"/>
          <w:numId w:val="2"/>
        </w:numPr>
        <w:spacing w:after="60"/>
      </w:pPr>
      <w:r>
        <w:rPr>
          <w:rFonts w:ascii="Arial" w:cs="Arial" w:eastAsia="Arial" w:hAnsi="Arial"/>
          <w:color w:val="1A1A1A"/>
          <w:sz w:val="20"/>
          <w:szCs w:val="20"/>
        </w:rPr>
        <w:t xml:space="preserve">Startdatum und Enddatum</w:t>
      </w:r>
    </w:p>
    <w:p>
      <w:pPr>
        <w:pStyle w:val="ListParagraph"/>
        <w:numPr>
          <w:ilvl w:val="0"/>
          <w:numId w:val="2"/>
        </w:numPr>
        <w:spacing w:after="60"/>
      </w:pPr>
      <w:r>
        <w:rPr>
          <w:rFonts w:ascii="Arial" w:cs="Arial" w:eastAsia="Arial" w:hAnsi="Arial"/>
          <w:color w:val="1A1A1A"/>
          <w:sz w:val="20"/>
          <w:szCs w:val="20"/>
        </w:rPr>
        <w:t xml:space="preserve">Bis zu n Iterationen (variabel konfigurierbar, Standard: 4)</w:t>
      </w:r>
    </w:p>
    <w:p>
      <w:pPr>
        <w:spacing w:after="120"/>
      </w:pPr>
      <w:r>
        <w:rPr>
          <w:rFonts w:ascii="Arial" w:cs="Arial" w:eastAsia="Arial" w:hAnsi="Arial"/>
          <w:color w:val="1A1A1A"/>
          <w:sz w:val="20"/>
          <w:szCs w:val="20"/>
        </w:rPr>
        <w:t xml:space="preserve">Bei CSV-Import ohne Iterationen wird das PI-Intervall automatisch in 4 gleiche Iterationen aufgeteilt. Diese können anschliessend manuell angepasst werden (Aufklappen → › Symbol).</w:t>
      </w:r>
    </w:p>
    <w:p>
      <w:pPr>
        <w:pStyle w:val="Heading2"/>
        <w:spacing w:before="300" w:after="120"/>
      </w:pPr>
      <w:r>
        <w:rPr>
          <w:rFonts w:ascii="Arial" w:cs="Arial" w:eastAsia="Arial" w:hAnsi="Arial"/>
          <w:b/>
          <w:bCs/>
          <w:color w:val="003F7F"/>
          <w:sz w:val="26"/>
          <w:szCs w:val="26"/>
        </w:rPr>
        <w:t xml:space="preserve">6.3 Feiertage, Schulferien, Blocker</w:t>
      </w:r>
    </w:p>
    <w:p>
      <w:pPr>
        <w:spacing w:after="120"/>
      </w:pPr>
      <w:r>
        <w:rPr>
          <w:rFonts w:ascii="Arial" w:cs="Arial" w:eastAsia="Arial" w:hAnsi="Arial"/>
          <w:color w:val="1A1A1A"/>
          <w:sz w:val="20"/>
          <w:szCs w:val="20"/>
        </w:rPr>
        <w:t xml:space="preserve">Drei separate Listen für kalenderrelevante Perioden: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65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Gesetzliche Feiertage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Nicht buchbar, werden grau im Kalender angezeigt, kein SP-Beitrag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Schulferien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Nur visueller Hinweis (hellgrau), kein Einfluss auf SP-Berechnung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Blocker / Change Freeze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Visueller Hinweis mit ❄️ Symbol (hellblau), zählen als Arbeitstage</w:t>
            </w:r>
          </w:p>
        </w:tc>
      </w:tr>
    </w:tbl>
    <w:p>
      <w:pPr>
        <w:pStyle w:val="Heading2"/>
        <w:spacing w:before="300" w:after="120"/>
      </w:pPr>
      <w:r>
        <w:rPr>
          <w:rFonts w:ascii="Arial" w:cs="Arial" w:eastAsia="Arial" w:hAnsi="Arial"/>
          <w:b/>
          <w:bCs/>
          <w:color w:val="003F7F"/>
          <w:sz w:val="26"/>
          <w:szCs w:val="26"/>
        </w:rPr>
        <w:t xml:space="preserve">6.4 Team-Zielwerte</w:t>
      </w:r>
    </w:p>
    <w:p>
      <w:pPr>
        <w:spacing w:after="120"/>
      </w:pPr>
      <w:r>
        <w:rPr>
          <w:rFonts w:ascii="Arial" w:cs="Arial" w:eastAsia="Arial" w:hAnsi="Arial"/>
          <w:color w:val="1A1A1A"/>
          <w:sz w:val="20"/>
          <w:szCs w:val="20"/>
        </w:rPr>
        <w:t xml:space="preserve">Definieren Sie pro Team die Mindestanforderungen:</w:t>
      </w:r>
    </w:p>
    <w:p>
      <w:pPr>
        <w:pStyle w:val="ListParagraph"/>
        <w:numPr>
          <w:ilvl w:val="0"/>
          <w:numId w:val="2"/>
        </w:numPr>
        <w:spacing w:after="60"/>
      </w:pPr>
      <w:r>
        <w:rPr>
          <w:rFonts w:ascii="Arial" w:cs="Arial" w:eastAsia="Arial" w:hAnsi="Arial"/>
          <w:color w:val="1A1A1A"/>
          <w:sz w:val="20"/>
          <w:szCs w:val="20"/>
        </w:rPr>
        <w:t xml:space="preserve">Min. Pikett-Personen: Mindestanzahl Personen im Pikett-Dienst pro Tag</w:t>
      </w:r>
    </w:p>
    <w:p>
      <w:pPr>
        <w:pStyle w:val="ListParagraph"/>
        <w:numPr>
          <w:ilvl w:val="0"/>
          <w:numId w:val="2"/>
        </w:numPr>
        <w:spacing w:after="60"/>
      </w:pPr>
      <w:r>
        <w:rPr>
          <w:rFonts w:ascii="Arial" w:cs="Arial" w:eastAsia="Arial" w:hAnsi="Arial"/>
          <w:color w:val="1A1A1A"/>
          <w:sz w:val="20"/>
          <w:szCs w:val="20"/>
        </w:rPr>
        <w:t xml:space="preserve">Min. Betrieb-Personen: Mindestanzahl Personen für Betriebsaufgaben pro Tag</w:t>
      </w:r>
    </w:p>
    <w:p>
      <w:pPr>
        <w:pStyle w:val="ListParagraph"/>
        <w:numPr>
          <w:ilvl w:val="0"/>
          <w:numId w:val="2"/>
        </w:numPr>
        <w:spacing w:after="60"/>
      </w:pPr>
      <w:r>
        <w:rPr>
          <w:rFonts w:ascii="Arial" w:cs="Arial" w:eastAsia="Arial" w:hAnsi="Arial"/>
          <w:color w:val="1A1A1A"/>
          <w:sz w:val="20"/>
          <w:szCs w:val="20"/>
        </w:rPr>
        <w:t xml:space="preserve">SP/Tag: Story Points pro Arbeitstag (Standard: 1)</w:t>
      </w:r>
    </w:p>
    <w:p>
      <w:pPr>
        <w:pStyle w:val="ListParagraph"/>
        <w:numPr>
          <w:ilvl w:val="0"/>
          <w:numId w:val="2"/>
        </w:numPr>
        <w:spacing w:after="60"/>
      </w:pPr>
      <w:r>
        <w:rPr>
          <w:rFonts w:ascii="Arial" w:cs="Arial" w:eastAsia="Arial" w:hAnsi="Arial"/>
          <w:color w:val="1A1A1A"/>
          <w:sz w:val="20"/>
          <w:szCs w:val="20"/>
        </w:rPr>
        <w:t xml:space="preserve">Stunden/Jahr: Standardstunden pro Jahr bei 100% FTE (Standard: 1600)</w:t>
      </w:r>
    </w:p>
    <w:p>
      <w:pPr>
        <w:spacing w:after="120"/>
      </w:pPr>
      <w:r>
        <w:rPr>
          <w:rFonts w:ascii="Arial" w:cs="Arial" w:eastAsia="Arial" w:hAnsi="Arial"/>
          <w:color w:val="1A1A1A"/>
          <w:sz w:val="20"/>
          <w:szCs w:val="20"/>
        </w:rPr>
        <w:t xml:space="preserve">Diese Zielwerte werden im Dashboard für die Lücken-Erkennung verwendet.</w:t>
      </w:r>
    </w:p>
    <w:p>
      <w:pPr>
        <w:pStyle w:val="Heading2"/>
        <w:spacing w:before="300" w:after="120"/>
      </w:pPr>
      <w:r>
        <w:rPr>
          <w:rFonts w:ascii="Arial" w:cs="Arial" w:eastAsia="Arial" w:hAnsi="Arial"/>
          <w:b/>
          <w:bCs/>
          <w:color w:val="003F7F"/>
          <w:sz w:val="26"/>
          <w:szCs w:val="26"/>
        </w:rPr>
        <w:t xml:space="preserve">6.5 Farbeinstellungen</w:t>
      </w:r>
    </w:p>
    <w:p>
      <w:pPr>
        <w:spacing w:after="120"/>
      </w:pPr>
      <w:r>
        <w:rPr>
          <w:rFonts w:ascii="Arial" w:cs="Arial" w:eastAsia="Arial" w:hAnsi="Arial"/>
          <w:color w:val="1A1A1A"/>
          <w:sz w:val="20"/>
          <w:szCs w:val="20"/>
        </w:rPr>
        <w:t xml:space="preserve">Passen Sie die Farben der Buchungstypen und Kalenderelemente an Ihre Bedürfnisse an. Für jeden Typ können Sie Hintergrundfarbe und Schriftfarbe separat wählen. Eine Vorschau zeigt das Ergebnis sofort. Mit "Auf Standard zurücksetzen" stellen Sie die Originalfarben wieder her.</w:t>
      </w:r>
    </w:p>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7. Backup und Restore</w:t>
      </w:r>
    </w:p>
    <w:p>
      <w:pPr>
        <w:pStyle w:val="Heading2"/>
        <w:spacing w:before="300" w:after="120"/>
      </w:pPr>
      <w:r>
        <w:rPr>
          <w:rFonts w:ascii="Arial" w:cs="Arial" w:eastAsia="Arial" w:hAnsi="Arial"/>
          <w:b/>
          <w:bCs/>
          <w:color w:val="003F7F"/>
          <w:sz w:val="26"/>
          <w:szCs w:val="26"/>
        </w:rPr>
        <w:t xml:space="preserve">7.1 Backup erstellen</w:t>
      </w:r>
    </w:p>
    <w:p>
      <w:pPr>
        <w:pStyle w:val="ListParagraph"/>
        <w:numPr>
          <w:ilvl w:val="0"/>
          <w:numId w:val="3"/>
        </w:numPr>
        <w:spacing w:after="60"/>
      </w:pPr>
      <w:r>
        <w:rPr>
          <w:rFonts w:ascii="Arial" w:cs="Arial" w:eastAsia="Arial" w:hAnsi="Arial"/>
          <w:color w:val="1A1A1A"/>
          <w:sz w:val="20"/>
          <w:szCs w:val="20"/>
        </w:rPr>
        <w:t xml:space="preserve">Navigieren Sie zu Einstellungen → Backup/Restore</w:t>
      </w:r>
    </w:p>
    <w:p>
      <w:pPr>
        <w:pStyle w:val="ListParagraph"/>
        <w:numPr>
          <w:ilvl w:val="0"/>
          <w:numId w:val="3"/>
        </w:numPr>
        <w:spacing w:after="60"/>
      </w:pPr>
      <w:r>
        <w:rPr>
          <w:rFonts w:ascii="Arial" w:cs="Arial" w:eastAsia="Arial" w:hAnsi="Arial"/>
          <w:color w:val="1A1A1A"/>
          <w:sz w:val="20"/>
          <w:szCs w:val="20"/>
        </w:rPr>
        <w:t xml:space="preserve">Klicken Sie auf "Backup exportieren"</w:t>
      </w:r>
    </w:p>
    <w:p>
      <w:pPr>
        <w:pStyle w:val="ListParagraph"/>
        <w:numPr>
          <w:ilvl w:val="0"/>
          <w:numId w:val="3"/>
        </w:numPr>
        <w:spacing w:after="60"/>
      </w:pPr>
      <w:r>
        <w:rPr>
          <w:rFonts w:ascii="Arial" w:cs="Arial" w:eastAsia="Arial" w:hAnsi="Arial"/>
          <w:color w:val="1A1A1A"/>
          <w:sz w:val="20"/>
          <w:szCs w:val="20"/>
        </w:rPr>
        <w:t xml:space="preserve">Wählen Sie einen Speicherort auf Ihrem Computer</w:t>
      </w:r>
    </w:p>
    <w:p>
      <w:pPr>
        <w:pStyle w:val="ListParagraph"/>
        <w:numPr>
          <w:ilvl w:val="0"/>
          <w:numId w:val="3"/>
        </w:numPr>
        <w:spacing w:after="60"/>
      </w:pPr>
      <w:r>
        <w:rPr>
          <w:rFonts w:ascii="Arial" w:cs="Arial" w:eastAsia="Arial" w:hAnsi="Arial"/>
          <w:color w:val="1A1A1A"/>
          <w:sz w:val="20"/>
          <w:szCs w:val="20"/>
        </w:rPr>
        <w:t xml:space="preserve">Die Datei wird als JSON gespeichert (z.B. safe-pi-backup-2026-03-28.json)</w:t>
      </w:r>
    </w:p>
    <w:p>
      <w:pPr>
        <w:spacing w:after="120"/>
      </w:pPr>
      <w:r>
        <w:rPr>
          <w:rFonts w:ascii="Arial" w:cs="Arial" w:eastAsia="Arial" w:hAnsi="Arial"/>
          <w:color w:val="1A1A1A"/>
          <w:sz w:val="20"/>
          <w:szCs w:val="20"/>
        </w:rPr>
        <w:t xml:space="preserve">Das Backup enthält: alle Mitarbeiter mit Buchungen, PI-Planung, Feiertage, Schulferien, Blocker, Team-Zielwerte und Farbkonfiguration.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Empfehlung: Erstellen Sie vor jedem PI Planning ein Backup. Speichern Sie Backups auf einem Netzlaufwerk oder in einem gemeinsamen Ordner.</w:t>
            </w:r>
          </w:p>
        </w:tc>
      </w:tr>
    </w:tbl>
    <w:p>
      <w:pPr>
        <w:pStyle w:val="Heading2"/>
        <w:spacing w:before="300" w:after="120"/>
      </w:pPr>
      <w:r>
        <w:rPr>
          <w:rFonts w:ascii="Arial" w:cs="Arial" w:eastAsia="Arial" w:hAnsi="Arial"/>
          <w:b/>
          <w:bCs/>
          <w:color w:val="003F7F"/>
          <w:sz w:val="26"/>
          <w:szCs w:val="26"/>
        </w:rPr>
        <w:t xml:space="preserve">7.2 Backup wiederherstellen</w:t>
      </w:r>
    </w:p>
    <w:p>
      <w:pPr>
        <w:pStyle w:val="ListParagraph"/>
        <w:numPr>
          <w:ilvl w:val="0"/>
          <w:numId w:val="3"/>
        </w:numPr>
        <w:spacing w:after="60"/>
      </w:pPr>
      <w:r>
        <w:rPr>
          <w:rFonts w:ascii="Arial" w:cs="Arial" w:eastAsia="Arial" w:hAnsi="Arial"/>
          <w:color w:val="1A1A1A"/>
          <w:sz w:val="20"/>
          <w:szCs w:val="20"/>
        </w:rPr>
        <w:t xml:space="preserve">Navigieren Sie zu Einstellungen → Backup/Restore</w:t>
      </w:r>
    </w:p>
    <w:p>
      <w:pPr>
        <w:pStyle w:val="ListParagraph"/>
        <w:numPr>
          <w:ilvl w:val="0"/>
          <w:numId w:val="3"/>
        </w:numPr>
        <w:spacing w:after="60"/>
      </w:pPr>
      <w:r>
        <w:rPr>
          <w:rFonts w:ascii="Arial" w:cs="Arial" w:eastAsia="Arial" w:hAnsi="Arial"/>
          <w:color w:val="1A1A1A"/>
          <w:sz w:val="20"/>
          <w:szCs w:val="20"/>
        </w:rPr>
        <w:t xml:space="preserve">Klicken Sie auf "Backup importieren"</w:t>
      </w:r>
    </w:p>
    <w:p>
      <w:pPr>
        <w:pStyle w:val="ListParagraph"/>
        <w:numPr>
          <w:ilvl w:val="0"/>
          <w:numId w:val="3"/>
        </w:numPr>
        <w:spacing w:after="60"/>
      </w:pPr>
      <w:r>
        <w:rPr>
          <w:rFonts w:ascii="Arial" w:cs="Arial" w:eastAsia="Arial" w:hAnsi="Arial"/>
          <w:color w:val="1A1A1A"/>
          <w:sz w:val="20"/>
          <w:szCs w:val="20"/>
        </w:rPr>
        <w:t xml:space="preserve">Wählen Sie die JSON-Backup-Datei</w:t>
      </w:r>
    </w:p>
    <w:p>
      <w:pPr>
        <w:pStyle w:val="ListParagraph"/>
        <w:numPr>
          <w:ilvl w:val="0"/>
          <w:numId w:val="3"/>
        </w:numPr>
        <w:spacing w:after="60"/>
      </w:pPr>
      <w:r>
        <w:rPr>
          <w:rFonts w:ascii="Arial" w:cs="Arial" w:eastAsia="Arial" w:hAnsi="Arial"/>
          <w:color w:val="1A1A1A"/>
          <w:sz w:val="20"/>
          <w:szCs w:val="20"/>
        </w:rPr>
        <w:t xml:space="preserve">Bestätigen Sie die Wiederherstellung</w:t>
      </w:r>
    </w:p>
    <w:p>
      <w:pPr>
        <w:spacing w:after="120"/>
      </w:pPr>
      <w:r>
        <w:rPr>
          <w:rFonts w:ascii="Arial" w:cs="Arial" w:eastAsia="Arial" w:hAnsi="Arial"/>
          <w:color w:val="1A1A1A"/>
          <w:sz w:val="20"/>
          <w:szCs w:val="20"/>
        </w:rPr>
        <w:t xml:space="preserve">Achtung: Die Wiederherstellung überschreibt alle aktuellen Daten.</w:t>
      </w:r>
    </w:p>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8. Mehrbenutzer-Betrieb</w:t>
      </w:r>
    </w:p>
    <w:p>
      <w:pPr>
        <w:spacing w:after="120"/>
      </w:pPr>
      <w:r>
        <w:rPr>
          <w:rFonts w:ascii="Arial" w:cs="Arial" w:eastAsia="Arial" w:hAnsi="Arial"/>
          <w:color w:val="1A1A1A"/>
          <w:sz w:val="20"/>
          <w:szCs w:val="20"/>
        </w:rPr>
        <w:t xml:space="preserve">Der SAFe PI Capacity Planner unterstützt den gleichzeitigen Zugriff mehrerer Benutzer. Änderungen eines Benutzers werden in Echtzeit bei allen anderen sichtbar.</w:t>
      </w:r>
    </w:p>
    <w:p>
      <w:pPr>
        <w:pStyle w:val="Heading2"/>
        <w:spacing w:before="300" w:after="120"/>
      </w:pPr>
      <w:r>
        <w:rPr>
          <w:rFonts w:ascii="Arial" w:cs="Arial" w:eastAsia="Arial" w:hAnsi="Arial"/>
          <w:b/>
          <w:bCs/>
          <w:color w:val="003F7F"/>
          <w:sz w:val="26"/>
          <w:szCs w:val="26"/>
        </w:rPr>
        <w:t xml:space="preserve">8.1 Verbindungsstatus</w:t>
      </w:r>
    </w:p>
    <w:p>
      <w:pPr>
        <w:spacing w:after="120"/>
      </w:pPr>
      <w:r>
        <w:rPr>
          <w:rFonts w:ascii="Arial" w:cs="Arial" w:eastAsia="Arial" w:hAnsi="Arial"/>
          <w:color w:val="1A1A1A"/>
          <w:sz w:val="20"/>
          <w:szCs w:val="20"/>
        </w:rPr>
        <w:t xml:space="preserve">Der Header zeigt rechts den Verbindungsstatus:</w:t>
      </w:r>
    </w:p>
    <w:p>
      <w:pPr>
        <w:pStyle w:val="ListParagraph"/>
        <w:numPr>
          <w:ilvl w:val="0"/>
          <w:numId w:val="2"/>
        </w:numPr>
        <w:spacing w:after="60"/>
      </w:pPr>
      <w:r>
        <w:rPr>
          <w:rFonts w:ascii="Arial" w:cs="Arial" w:eastAsia="Arial" w:hAnsi="Arial"/>
          <w:color w:val="1A1A1A"/>
          <w:sz w:val="20"/>
          <w:szCs w:val="20"/>
        </w:rPr>
        <w:t xml:space="preserve">Grüner Punkt "Verbunden": Änderungen werden synchronisiert</w:t>
      </w:r>
    </w:p>
    <w:p>
      <w:pPr>
        <w:pStyle w:val="ListParagraph"/>
        <w:numPr>
          <w:ilvl w:val="0"/>
          <w:numId w:val="2"/>
        </w:numPr>
        <w:spacing w:after="60"/>
      </w:pPr>
      <w:r>
        <w:rPr>
          <w:rFonts w:ascii="Arial" w:cs="Arial" w:eastAsia="Arial" w:hAnsi="Arial"/>
          <w:color w:val="1A1A1A"/>
          <w:sz w:val="20"/>
          <w:szCs w:val="20"/>
        </w:rPr>
        <w:t xml:space="preserve">Roter Punkt "Getrennt": Keine Verbindung zum Server. Änderungen werden lokal gespeichert, aber nicht synchronisiert.</w:t>
      </w:r>
    </w:p>
    <w:p>
      <w:pPr>
        <w:pStyle w:val="Heading2"/>
        <w:spacing w:before="300" w:after="120"/>
      </w:pPr>
      <w:r>
        <w:rPr>
          <w:rFonts w:ascii="Arial" w:cs="Arial" w:eastAsia="Arial" w:hAnsi="Arial"/>
          <w:b/>
          <w:bCs/>
          <w:color w:val="003F7F"/>
          <w:sz w:val="26"/>
          <w:szCs w:val="26"/>
        </w:rPr>
        <w:t xml:space="preserve">8.2 Gleichzeitiges Bearbeiten</w:t>
      </w:r>
    </w:p>
    <w:p>
      <w:pPr>
        <w:spacing w:after="120"/>
      </w:pPr>
      <w:r>
        <w:rPr>
          <w:rFonts w:ascii="Arial" w:cs="Arial" w:eastAsia="Arial" w:hAnsi="Arial"/>
          <w:color w:val="1A1A1A"/>
          <w:sz w:val="20"/>
          <w:szCs w:val="20"/>
        </w:rPr>
        <w:t xml:space="preserve">Wenn ein Benutzer eine Zeile bearbeitet (Drag-Buchung), wird diese Zeile für andere Benutzer gesperrt angezeigt. Nach dem Loslassen der Maus wird die Zeile automatisch freigegeben.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F7F" w:sz="4"/>
              <w:left w:val="single" w:color="003F7F" w:sz="12"/>
              <w:bottom w:val="single" w:color="003F7F" w:sz="4"/>
              <w:right w:val="none" w:color="FFFFFF" w:sz="0"/>
            </w:tcBorders>
            <w:shd w:fill="EBF3FB" w:val="clear"/>
            <w:tcMar>
              <w:top w:type="dxa" w:w="100"/>
              <w:left w:type="dxa" w:w="200"/>
              <w:bottom w:type="dxa" w:w="100"/>
              <w:right w:type="dxa" w:w="100"/>
            </w:tcMar>
          </w:tcPr>
          <w:p>
            <w:r>
              <w:rPr>
                <w:rFonts w:ascii="Arial" w:cs="Arial" w:eastAsia="Arial" w:hAnsi="Arial"/>
                <w:color w:val="1A1A1A"/>
                <w:sz w:val="20"/>
                <w:szCs w:val="20"/>
              </w:rPr>
              <w:t xml:space="preserve">Wichtig: Bei einem Verbindungsunterbruch verbindet sich die Applikation automatisch wieder. Der aktuelle Stand wird vom Server nachgeladen.</w:t>
            </w:r>
          </w:p>
        </w:tc>
      </w:tr>
    </w:tbl>
    <w:p>
      <w:r>
        <w:br w:type="page"/>
      </w:r>
    </w:p>
    <w:p>
      <w:pPr>
        <w:pStyle w:val="Heading1"/>
        <w:pBdr>
          <w:bottom w:val="single" w:color="003F7F" w:sz="6" w:space="1"/>
        </w:pBdr>
        <w:spacing w:before="400" w:after="200"/>
      </w:pPr>
      <w:r>
        <w:rPr>
          <w:rFonts w:ascii="Arial" w:cs="Arial" w:eastAsia="Arial" w:hAnsi="Arial"/>
          <w:b/>
          <w:bCs/>
          <w:color w:val="003F7F"/>
          <w:sz w:val="32"/>
          <w:szCs w:val="32"/>
        </w:rPr>
        <w:t xml:space="preserve">9. Häufig gestellte Fragen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5026"/>
            <w:tcBorders>
              <w:top w:val="single" w:color="003F7F" w:sz="1"/>
              <w:left w:val="single" w:color="003F7F" w:sz="1"/>
              <w:bottom w:val="single" w:color="003F7F" w:sz="1"/>
              <w:right w:val="single" w:color="003F7F" w:sz="1"/>
            </w:tcBorders>
            <w:shd w:fill="003F7F" w:val="clear"/>
            <w:tcMar>
              <w:top w:type="dxa" w:w="80"/>
              <w:left w:type="dxa" w:w="120"/>
              <w:bottom w:type="dxa" w:w="80"/>
              <w:right w:type="dxa" w:w="120"/>
            </w:tcMar>
          </w:tcPr>
          <w:p>
            <w:r>
              <w:rPr>
                <w:rFonts w:ascii="Arial" w:cs="Arial" w:eastAsia="Arial" w:hAnsi="Arial"/>
                <w:b/>
                <w:bCs/>
                <w:color w:val="FFFFFF"/>
                <w:sz w:val="20"/>
                <w:szCs w:val="20"/>
              </w:rPr>
              <w:t xml:space="preserve">Antwort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ist eine Zelle ausgegraut?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Wochenenden und gesetzliche Feiertage sind nicht buchbar.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ändert sich meine Buchung nicht?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Prüfen Sie ob der richtige Buchungstyp in der Legende aktiv 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Warum stimmen die SP nicht?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Prüfen Sie FTE, Betrieb% und Pauschale% in den Mitarbeiter-Einstellungen.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Wie lösche ich alle Buchungen?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Toolbar im Planung-Tab: "Alle Buchungen löschen" (Papierkorb-Symbol).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Meine Daten sind nach dem Neustart weg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Bitte regelmässig Backups erstellen. Daten werden in-memory gehalten.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Kann ich meine Farben zurücksetzen?</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Einstellungen → Farbeinstellungen → "Auf Standard zurücksetzen".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Wie exportiere ich für Confluence?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 "Als PDF exportieren" oder "Als PNG exportieren".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 bedeutet die ❄️-Markierung?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 Freeze / Blocker-Tag. Diese Tage zählen als Arbeitstage (kein SP-Abzug), aber Deployments sind gesperrt.</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pPr>
    <w:r>
      <w:rPr>
        <w:rFonts w:ascii="Arial" w:cs="Arial" w:eastAsia="Arial" w:hAnsi="Arial"/>
        <w:color w:val="666666"/>
        <w:sz w:val="16"/>
        <w:szCs w:val="16"/>
      </w:rPr>
      <w:t xml:space="preserve">SAFe PI Capacity Planner – Benutzerdokumentation | BIT | Version 1.0 | 2026    </w:t>
    </w:r>
    <w:r>
      <w:rPr>
        <w:rFonts w:ascii="Arial" w:cs="Arial" w:eastAsia="Arial" w:hAnsi="Arial"/>
        <w:color w:val="666666"/>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3F7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3F7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2026-03-28T08:51:58.211Z</dcterms:created>
  <dcterms:modified xsi:type="dcterms:W3CDTF">2026-03-28T08:51:58.212Z</dcterms:modified>
</cp:coreProperties>
</file>

<file path=docProps/custom.xml><?xml version="1.0" encoding="utf-8"?>
<Properties xmlns="http://schemas.openxmlformats.org/officeDocument/2006/custom-properties" xmlns:vt="http://schemas.openxmlformats.org/officeDocument/2006/docPropsVTypes"/>
</file>