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76" w:rsidRDefault="00DE5A70">
      <w:r>
        <w:t xml:space="preserve">Module L298N --- </w:t>
      </w:r>
      <w:r>
        <w:rPr>
          <w:rFonts w:ascii="Arial" w:hAnsi="Arial" w:cs="Arial"/>
          <w:color w:val="000000"/>
          <w:shd w:val="clear" w:color="auto" w:fill="FFFFFF"/>
        </w:rPr>
        <w:t>H-Bridge</w:t>
      </w:r>
    </w:p>
    <w:p w:rsidR="00DE5A70" w:rsidRDefault="00DE5A70"/>
    <w:p w:rsidR="00DE5A70" w:rsidRDefault="00DE5A70"/>
    <w:p w:rsidR="00DE5A70" w:rsidRDefault="00DE5A70">
      <w:r>
        <w:t xml:space="preserve">                                              </w:t>
      </w:r>
      <w:r w:rsidRPr="00DE5A70">
        <w:rPr>
          <w:noProof/>
          <w:lang w:eastAsia="en-SG"/>
        </w:rPr>
        <w:drawing>
          <wp:inline distT="0" distB="0" distL="0" distR="0">
            <wp:extent cx="2667000" cy="2705100"/>
            <wp:effectExtent l="0" t="0" r="0" b="0"/>
            <wp:docPr id="2" name="Picture 2" descr="G:\My Drive\Kien thuc\Vi dieu khien\Ngoai vi\l298 dieu khien dong co\dieu-khien-toc-do-motor-dc-bang-l298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y Drive\Kien thuc\Vi dieu khien\Ngoai vi\l298 dieu khien dong co\dieu-khien-toc-do-motor-dc-bang-l298n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0C" w:rsidRDefault="00017F0C">
      <w:r>
        <w:rPr>
          <w:noProof/>
          <w:lang w:eastAsia="en-SG"/>
        </w:rPr>
        <w:drawing>
          <wp:inline distT="0" distB="0" distL="0" distR="0">
            <wp:extent cx="5731510" cy="4656852"/>
            <wp:effectExtent l="0" t="0" r="2540" b="0"/>
            <wp:docPr id="1" name="Picture 1" descr="https://bizweb.dktcdn.net/100/005/602/files/l298n-dual-2a-motor-driver-module-tronixlabs-australia-pinout.jpg?v=147339628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zweb.dktcdn.net/100/005/602/files/l298n-dual-2a-motor-driver-module-tronixlabs-australia-pinout.jpg?v=1473396283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0" w:rsidRDefault="00DE5A70"/>
    <w:p w:rsidR="00DE5A70" w:rsidRDefault="00DE5A70">
      <w:r>
        <w:lastRenderedPageBreak/>
        <w:t xml:space="preserve">                                   </w:t>
      </w:r>
    </w:p>
    <w:p w:rsidR="00DE5A70" w:rsidRDefault="00DE5A70">
      <w:pPr>
        <w:rPr>
          <w:noProof/>
          <w:lang w:eastAsia="en-SG"/>
        </w:rPr>
      </w:pPr>
      <w:r>
        <w:t xml:space="preserve">     </w:t>
      </w:r>
      <w:r>
        <w:rPr>
          <w:noProof/>
          <w:lang w:eastAsia="en-SG"/>
        </w:rPr>
        <w:t xml:space="preserve">                        </w:t>
      </w:r>
      <w:r>
        <w:rPr>
          <w:noProof/>
          <w:lang w:eastAsia="en-SG"/>
        </w:rPr>
        <w:drawing>
          <wp:inline distT="0" distB="0" distL="0" distR="0">
            <wp:extent cx="3661457" cy="3616960"/>
            <wp:effectExtent l="0" t="0" r="0" b="2540"/>
            <wp:docPr id="3" name="Picture 3" descr="https://vietmachine.com.vn/wp-content/uploads/2019/01/H-Bridge-configuration-How-It-Works-768x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etmachine.com.vn/wp-content/uploads/2019/01/H-Bridge-configuration-How-It-Works-768x7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01" cy="362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0" w:rsidRDefault="00DE5A70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Mô-đun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35V,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2A.</w:t>
      </w:r>
    </w:p>
    <w:p w:rsidR="00DE5A70" w:rsidRDefault="00DE5A70">
      <w:pPr>
        <w:rPr>
          <w:rFonts w:ascii="Arial" w:hAnsi="Arial" w:cs="Arial"/>
          <w:color w:val="000000"/>
          <w:shd w:val="clear" w:color="auto" w:fill="FFFFFF"/>
        </w:rPr>
      </w:pPr>
    </w:p>
    <w:p w:rsidR="00DE5A70" w:rsidRDefault="00DE5A70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PWM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ab/>
        <w:t>ENA, ENB</w:t>
      </w:r>
    </w:p>
    <w:p w:rsidR="00DE5A70" w:rsidRDefault="00DE5A70">
      <w:pPr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3058"/>
        <w:gridCol w:w="2900"/>
      </w:tblGrid>
      <w:tr w:rsidR="00DE5A70" w:rsidTr="00DE5A70"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EN1</w:t>
            </w:r>
          </w:p>
        </w:tc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EN2</w:t>
            </w:r>
          </w:p>
        </w:tc>
        <w:tc>
          <w:tcPr>
            <w:tcW w:w="2900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MOTOR</w:t>
            </w:r>
          </w:p>
        </w:tc>
      </w:tr>
      <w:tr w:rsidR="00DE5A70" w:rsidTr="00DE5A70"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  <w:tc>
          <w:tcPr>
            <w:tcW w:w="2900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</w:tr>
      <w:tr w:rsidR="00DE5A70" w:rsidTr="00DE5A70"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2900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</w:tr>
      <w:tr w:rsidR="00DE5A70" w:rsidTr="00DE5A70"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2900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CW</w:t>
            </w:r>
          </w:p>
        </w:tc>
      </w:tr>
      <w:tr w:rsidR="00DE5A70" w:rsidTr="00DE5A70"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3058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  <w:tc>
          <w:tcPr>
            <w:tcW w:w="2900" w:type="dxa"/>
          </w:tcPr>
          <w:p w:rsidR="00DE5A70" w:rsidRDefault="00DE5A7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CCW</w:t>
            </w:r>
          </w:p>
        </w:tc>
      </w:tr>
    </w:tbl>
    <w:p w:rsidR="00DE5A70" w:rsidRDefault="00DE5A7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017F0C" w:rsidRDefault="00017F0C">
      <w:pPr>
        <w:rPr>
          <w:rFonts w:ascii="Arial" w:hAnsi="Arial" w:cs="Arial"/>
          <w:color w:val="000000"/>
          <w:shd w:val="clear" w:color="auto" w:fill="FFFFFF"/>
        </w:rPr>
      </w:pPr>
    </w:p>
    <w:p w:rsidR="00017F0C" w:rsidRDefault="00017F0C">
      <w:pPr>
        <w:rPr>
          <w:rFonts w:ascii="Arial" w:hAnsi="Arial" w:cs="Arial"/>
          <w:color w:val="000000"/>
          <w:shd w:val="clear" w:color="auto" w:fill="FFFFFF"/>
        </w:rPr>
      </w:pPr>
    </w:p>
    <w:p w:rsidR="00017F0C" w:rsidRDefault="00017F0C"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1. DC motor 1 “+”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stepper motor A+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2. DC motor 1 “-”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stepper motor A-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3. 12V jumper –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tháo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jumper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12V. Jumper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5V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12V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cháy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4.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Cắm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motor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6V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35V.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lastRenderedPageBreak/>
        <w:t xml:space="preserve">5.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Cắm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GND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6.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5V,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jumper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rút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ra.</w:t>
      </w:r>
      <w:proofErr w:type="spellEnd"/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7.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Enable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Motor 1,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motor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VDK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rút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jumper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cắm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Giữ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8. IN1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9. IN2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10. IN3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11. IN4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12.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Enable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Motor 2,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motor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VDK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rút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jumper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cắm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Giữ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13. DC motor 2 “+”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stepper motor B+</w:t>
      </w:r>
      <w:r>
        <w:rPr>
          <w:rFonts w:ascii="Arial" w:hAnsi="Arial" w:cs="Arial"/>
          <w:color w:val="2C2C2C"/>
          <w:spacing w:val="4"/>
        </w:rPr>
        <w:br/>
      </w:r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14. DC motor 2 “-” </w:t>
      </w:r>
      <w:proofErr w:type="spellStart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00"/>
          <w:spacing w:val="4"/>
          <w:sz w:val="30"/>
          <w:szCs w:val="30"/>
          <w:shd w:val="clear" w:color="auto" w:fill="FFFFFF"/>
        </w:rPr>
        <w:t xml:space="preserve"> stepper motor B-</w:t>
      </w:r>
      <w:bookmarkStart w:id="0" w:name="_GoBack"/>
      <w:bookmarkEnd w:id="0"/>
    </w:p>
    <w:sectPr w:rsidR="0001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70"/>
    <w:rsid w:val="00017F0C"/>
    <w:rsid w:val="00CE7276"/>
    <w:rsid w:val="00D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029D"/>
  <w15:chartTrackingRefBased/>
  <w15:docId w15:val="{9A87EB8B-21C2-4E6F-8336-5E56713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172</Words>
  <Characters>987</Characters>
  <Application>Microsoft Office Word</Application>
  <DocSecurity>0</DocSecurity>
  <Lines>8</Lines>
  <Paragraphs>2</Paragraphs>
  <ScaleCrop>false</ScaleCrop>
  <Company>HP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DAT</dc:creator>
  <cp:keywords/>
  <dc:description/>
  <cp:lastModifiedBy>NGUYEN DUC DAT</cp:lastModifiedBy>
  <cp:revision>2</cp:revision>
  <dcterms:created xsi:type="dcterms:W3CDTF">2022-01-06T00:01:00Z</dcterms:created>
  <dcterms:modified xsi:type="dcterms:W3CDTF">2022-01-06T00:45:00Z</dcterms:modified>
</cp:coreProperties>
</file>