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400" w:hRule="exact"/>
        </w:trPr>
        <w:tc>
          <w:tcPr>
            <w:tcW w:type="dxa" w:w="9200"/>
            <w:tcBorders>
              <w:top w:val="none" w:color="auto" w:sz="0"/>
              <w:left w:val="none" w:color="auto" w:sz="0"/>
              <w:bottom w:val="single" w:color="6B21A8" w:sz="18"/>
              <w:right w:val="none" w:color="auto" w:sz="0"/>
            </w:tcBorders>
            <w:shd w:fill="0B2E2A" w:color="auto" w:val="clear"/>
            <w:vAlign w:val="center"/>
          </w:tcPr>
          <w:p>
            <w:pPr>
              <w:spacing w:after="60" w:befor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36"/>
                <w:szCs w:val="36"/>
              </w:rPr>
              <w:t xml:space="preserve">R E B O R 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A3C"/>
                <w:spacing w:val="60"/>
                <w:sz w:val="18"/>
                <w:szCs w:val="18"/>
              </w:rPr>
              <w:t xml:space="preserve">INTERNAL ANALYSIS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120" w:before="0" w:line="300"/>
        <w:jc w:val="center"/>
      </w:pPr>
      <w:r>
        <w:rPr>
          <w:rFonts w:ascii="Calibri" w:cs="Calibri" w:eastAsia="Calibri" w:hAnsi="Calibri"/>
          <w:b/>
          <w:bCs/>
          <w:caps/>
          <w:color w:val="6B21A8"/>
          <w:spacing w:val="60"/>
          <w:sz w:val="22"/>
          <w:szCs w:val="22"/>
        </w:rPr>
        <w:t xml:space="preserve">PHÂN TÍCH TÀI CHÍNH</w:t>
      </w:r>
    </w:p>
    <w:p>
      <w:pPr>
        <w:spacing w:after="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52"/>
          <w:szCs w:val="52"/>
        </w:rPr>
        <w:t xml:space="preserve">Loyalty Platform</w:t>
      </w:r>
    </w:p>
    <w:p>
      <w:pPr>
        <w:spacing w:after="2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32"/>
          <w:szCs w:val="32"/>
        </w:rPr>
        <w:t xml:space="preserve">So sánh chi phí tổng thể &amp; Margin</w:t>
      </w:r>
    </w:p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7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KHÁCH HÀNG THAM CHIẾU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Chuỗi siêu thị 2 brand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~300 store · 3M KHTV · 150K txn/ngày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PHIÊN BẢN BÁO GIÁ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v1.1 — giảm 20%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ưu đãi cạnh tranh thị trường</w:t>
            </w:r>
          </w:p>
        </w:tc>
      </w:tr>
      <w:tr>
        <w:trPr>
          <w:trHeight w:val="7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MỤC ĐÍCH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6"/>
                <w:szCs w:val="16"/>
              </w:rPr>
              <w:t xml:space="preserve">BOD ra quyết định pricing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So sánh Tự xây ↔ SaaS ↔ Margin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NGÀY LẬP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23/04/2026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Cập nhật khi thay đổi pricing/tenant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900" w:hRule="atLeast"/>
        </w:trPr>
        <w:tc>
          <w:tcPr>
            <w:tcW w:type="dxa" w:w="9200"/>
            <w:tcBorders>
              <w:top w:val="single" w:color="FF8A3C" w:sz="18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</w:tcPr>
          <w:p>
            <w:pPr>
              <w:spacing w:after="8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2"/>
                <w:szCs w:val="22"/>
              </w:rPr>
              <w:t xml:space="preserve">🔒   TÀI LIỆU NỘI BỘ — KHÔNG GỬI KHÁCH HÀNG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color w:val="EDE9FE"/>
                <w:sz w:val="18"/>
                <w:szCs w:val="18"/>
              </w:rPr>
              <w:t xml:space="preserve">Chỉ dùng cho Ban lãnh đạo &amp; Team Sales Reborn JSC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MỤC LỤC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1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TÓM TẮT ĐIỀU HÀNH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2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PHƯƠNG ÁN A — TỰ XÂY IN-HOUSE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4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3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PHƯƠNG ÁN B — MUA REBORN (3 GÓI)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6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4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CHI PHÍ VẬN HÀNH SAAS — GÓC NHÌN REBORN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6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5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MARGIN TÍNH TOÁN — THEO GÓI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8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6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PHÂN TÍCH ĐỘ NHẠY — SỐ TENANT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10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7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SO SÁNH 3 MÔ HÌNH BÁN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10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8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ĐỀ XUẤT PRICING CHIẾN LƯỢC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11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9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KẾT LUẬN SO SÁNH TỔNG THỂ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12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10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SO SÁNH GIÁ GỐC vs GIẢM 20% — ĐIỂM HÒA VỐN ⭐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13</w:t>
            </w:r>
          </w:p>
        </w:tc>
      </w:tr>
    </w:tbl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6B21A8" w:sz="4"/>
              <w:left w:val="single" w:color="6B21A8" w:sz="24"/>
              <w:bottom w:val="single" w:color="6B21A8" w:sz="4"/>
              <w:right w:val="single" w:color="6B21A8" w:sz="4"/>
            </w:tcBorders>
            <w:shd w:fill="EDE9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6B21A8"/>
                <w:sz w:val="18"/>
                <w:szCs w:val="18"/>
              </w:rPr>
              <w:t xml:space="preserve">🔒 NỘI BỘ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Tài liệu này trình bày phân tích tổng thể gồm: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(i) chi phí tự xây so với mua Reborn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(ii) cơ cấu chi phí vận hành SaaS của Reborn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(iii) margin thực tế sau khi đã giảm 20%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, và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(iv) đề xuất điều chỉnh pricing chiến lược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1.  TÓM TẮT ĐIỀU HÀNH</w:t>
      </w:r>
    </w:p>
    <w:p>
      <w:pPr>
        <w:spacing w:after="16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Bảng dưới đây so sánh 4 phương án từ góc nhìn khách hàng. Margin Reborn được tính chi tiết ở §5.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1.1.  So sánh chi phí 3 năm cho khách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3 năm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Thời gian go-live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Tự xây in-house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 – 12 tỷ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 – 24 tháng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Rất cao — delay, scope creep, thiếu exp retail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Reborn STARTER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~1,5 tỷ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 – 4 tháng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Thấp — nhưng chỉ 1 brand, migration thiếu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Reborn STANDARD  ⭐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~2,8 tỷ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 tháng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Thấp — phù hợp nhất bài toán khách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Reborn PREMIUM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~4,3 tỷ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 – 8 tháng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Thấp — full Marketing Auto + ML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1.2.  Margin Reborn — Gói STANDARD (đã giảm 20%)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1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2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3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TB 3 năm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Doanh thu (triệu VND)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2.824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Chi phí Reborn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1.375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830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830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3.035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Lợi nhuận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+137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−174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−174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−211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Margin %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+9%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−27%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−27%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−7%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Kết luận nhanh: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Giá sau giảm 20% tạo margin 3 năm âm nhẹ (−7%) ở mức tenant thấp (5 khách). Khi đạt 10+ tenant margin sẽ dương ~25%.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Phương án bù đắp: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upsell add-ons (margin 40–60%) + cam kết 3 năm để đạt margin thực tế 25–35%.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2.  PHƯƠNG ÁN A — TỰ XÂY IN-HOUSE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2.1.  Team cần thiết (tương đương gói STANDARD)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FTE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Lương TB (triệu/tháng)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Senior Backend (Java/Spring)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Senior Frontend (React)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DBA / Data Engineer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QA / Test Engineer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FTE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TB ~15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2.2.  Chi phí chi tiết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(triệu VND)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Tech Lead (18 × 60)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1.080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 BE × 18 × 40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2.160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 FE × 15 × 35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1.050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DBA × 12 × 35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420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DevOps × 12 × 40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QA × 15 × 25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375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BA × 12 × 30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360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PM × 18 × 45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810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lương (gross)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6.735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Trước overhead</w:t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Overhead 40% (BHXH, thuế, office, benefits)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2.694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License dev tools (IDE, Jira, CI/CD, APM)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Cloud dev/staging (18 tháng)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360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Tư vấn ngoài (UX, security audit)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Chi phí kỹ thuật (cộng dồn)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10.189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Dự phòng rủi ro / scope creep 15%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1.528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CHI PHÍ TỰ XÂY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~11.700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Chưa tính hạ tầng production năm 1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2.3.  Thời gian triển khai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Tháng 1–3: Khảo sát, kiến trúc, UX design, POC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Tháng 4–9: MVP core loyalty (hội viên, tích điểm, hạng, đổi thưởng)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Tháng 10–14: Migration ETL + POS integration + CSKH + Marketing auto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Tháng 15–18: Testing, UAT, pilot 5–10 store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Tháng 19–24: Rollout toàn chuỗi, hardening, đào tạo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Thực tế tại VN: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18 tháng là lý tưởng. Trung vị các dự án tương tự là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22–28 tháng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do: tuyển dụng retail-loyalty 3–6 tháng, scope creep stakeholder, edge cases migration 3M KHTV.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2.4.  Rủi ro tự xây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Xác suất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Tác động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Delay 6–12 tháng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60% (Cao)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+2–4 tỷ chi phí, lỡ cơ hội kinh doanh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Nhân sự nghỉ giữa chừng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40% (TB)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Onboarding lại, chậm 2–3 tháng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Hiệu năng không đạt ở peak 300K txn/ngày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35% (TB)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Refactor DB, cache, queue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Thiếu exp retail-specific edge cases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55% (Cao)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Rework features sau go-live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Chi phí đội &gt; 30% ngân sách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70% (Rất cao)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≥ 15 tỷ tổng thay vì 11,7 tỷ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3.  PHƯƠNG ÁN B — MUA REBORN (3 GÓI)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Chi tiết đã có trong báo giá chính thức. Bảng dưới tóm tắt Total Contract Value (TCV) 3 năm.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1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2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3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3-year TCV</w:t>
            </w:r>
          </w:p>
        </w:tc>
      </w:tr>
      <w:tr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712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392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392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1.496</w:t>
            </w:r>
          </w:p>
        </w:tc>
      </w:tr>
      <w:tr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2.824</w:t>
            </w:r>
          </w:p>
        </w:tc>
      </w:tr>
      <w:tr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2.392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960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960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4.312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0"/>
          <w:szCs w:val="20"/>
        </w:rPr>
        <w:t xml:space="preserve">Đơn vị: triệu VND, trước VAT, chưa tính scale pack khi mở rộng cửa hàng.</w:t>
      </w:r>
    </w:p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So sánh với tự xây (STANDARD):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2,8 tỷ vs 11,7 tỷ → khách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tiết kiệm ~8,9 tỷ + 12–18 tháng thời gian.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4.  CHI PHÍ VẬN HÀNH SAAS — GÓC NHÌN REBORN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Giả định Reborn vận hành SaaS multi-tenant cho khách gói STANDARD. Tính per-tenant với các mức kinh tế quy mô khác nhau.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4.1.  Chi phí hạ tầng (Infrastructure) — hàng năm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 / Nhà cung cấp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triệu/năm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Application servers (3 VM × 8 vCPU 32GB)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VNG/FPT Cloud VN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Database managed MySQL (16 vCPU, 64GB, 2TB SSD, HA)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RDS-equivalent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Redis cache (2 nodes 8GB)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Managed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RabbitMQ cluster (2 nodes)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Self-hosted VM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Load balancer + NAT gateway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Managed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Object storage (~2TB backups + files)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S3-like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CDN + bandwidth (3M user traffic)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Cloudflare/BunnyCDN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Monitoring (Datadog/New Relic APM 5 hosts)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SaaS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DR / Backup site (warm standby)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Secondary region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SMS gateway base + 50K SMS/tháng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Viettel/VinaPhone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Email service (500K/tháng)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SendGrid/SES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hạ tầng DEDICATED (1 tenant)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Full stack riêng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888</w:t>
            </w:r>
          </w:p>
        </w:tc>
      </w:tr>
      <w:tr>
        <w:tc>
          <w:tcPr>
            <w:tcW w:type="dxa" w:w="3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hạ tầng MULTI-TENANT (10 tenant)</w:t>
            </w:r>
          </w:p>
        </w:tc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Shared DB/Redis/monitoring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~350 / tenant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Lưu ý: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Nếu khách chọn Dedicated (gói PREMIUM có DR 72tr), chi phí thực ~888tr/năm. Reborn thu 288tr hosting → cần cộng thêm vào tổng gói. Multi-tenant chia sẻ hạ tầng là chìa khoá để margin dương.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4.2.  Chi phí nhân sự (Personnel) — team vận hành SaaS chung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FTE / 10 khách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Lương (triệu/tháng)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/ năm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Support engineer L2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DBA (part-time)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420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Customer Success Manager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 (mỗi CSM 5 khách)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Tech Lead (fix bug phức tạp, part-time)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team lõi (trước overhead)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3.540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Overhead 35% (BHXH, office, tools, training)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1.239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nhân sự vận hành / năm cho 10 khách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4.779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Phân bổ 1 khách STANDARD (10-tenant)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~480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Phân bổ 1 khách STANDARD (5-tenant)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~960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4.3.  Chi phí Implementation — one-time năm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Man-days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 (triệu @ 2–2,5tr/day)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Khảo sát + mapping 4 hệ thống (BA + TL)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ETL pipeline + dedupe + import 3M record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POS 2 brand (~300 store config)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Tích hợp Website + Mobile App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Module CSKH setup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Config rule điểm/hạng/hạn + Dashboard custom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QA + UAT + load test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Project Management (PM @ 2,5tr/day)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impl labor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235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495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Contingency 10%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Implementation / khách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~545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4.4.  Tổng chi phí Reborn theo gói (giả định 10-tenant)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1: Implementation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280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545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820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1: Infrastructure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540 (dedicated)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1: Personnel allocation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320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cost năm 1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800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1.375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2.060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2+: Infrastructure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2+: Personnel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320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Tổng cost năm 2+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520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830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1.240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5.  MARGIN TÍNH TOÁN — THEO GÓI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5.1.  Gói STARTER — 712 triệu năm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Lợi nhuận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1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712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−88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−12%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392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520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−128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−33%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3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392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520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−128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−33%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3-year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1.496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1.840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−344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−23%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22"/>
                <w:szCs w:val="22"/>
              </w:rPr>
              <w:t xml:space="preserve">Cảnh báo: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Gói STARTER sau giảm 20% ĐANG ÂM MARGIN ở giả định tenant thấp (3–5). Để hoà vốn cần: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(a) Multi-tenant 15+ khách, hoặc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(b) Đẩy giá STARTER về mức 850–900tr, hoặc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(c) Xem STARTER là "loss leader" — bán để lấy cửa, upsell STANDARD/PREMIUM sau 6–12 tháng.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5.2.  Gói STANDARD — 1.512 triệu năm 1 (GÓI CHÍNH)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Lợi nhuận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1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1.375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+137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+9%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830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−174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−27%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3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830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−174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−27%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3-year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2.824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3.035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−211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−7%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Gói STANDARD sau giảm 20% lỗ nhẹ 3 năm. Phí năm 2+ (656tr) chưa đủ bù personnel + hosting (830tr).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B2E2A"/>
          <w:sz w:val="24"/>
          <w:szCs w:val="24"/>
        </w:rPr>
        <w:t xml:space="preserve">4 cách cân bằng: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Multi-tenant 10+ khách: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phân bổ personnel từ 480tr → ~300tr/khách → margin 3-year ~20%.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Bán kèm add-ons: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gamification, mini-app Zalo, ERP... — mỗi add-on margin ~50% vì dùng template sẵn.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Nâng phí năm 2+ lên 800tr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(thay vì 656tr) — cân bằng được margin về dương.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Cam kết 3 năm giảm 15%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(đã có trong báo giá) — khách trả 2.400tr trước, Reborn có tiền mặt + chứng minh cam kết của khách.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5.3.  Gói PREMIUM — 2.392 triệu năm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Lợi nhuận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1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2.392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2.060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+332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960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1.240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−280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−29%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3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960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1.240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−280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−29%</w:t>
            </w:r>
          </w:p>
        </w:tc>
      </w:tr>
      <w:tr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3-year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4.312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4.540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−228</w:t>
            </w:r>
          </w:p>
        </w:tc>
        <w:tc>
          <w:tcPr>
            <w:tcW w:type="dxa" w:w="185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−5%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Tương tự STANDARD. Premium cần: (i) 8+ khách cùng quy mô để phân bổ personnel, (ii) bán thêm add-ons (mini-app Zalo 176tr, SDK 144tr, ISO consulting 144tr...) — mỗi add-on margin 40–60%.</w:t>
      </w:r>
    </w:p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6.  PHÂN TÍCH ĐỘ NHẠY — SỐ TENANT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Câu hỏi: Margin gói STANDARD thay đổi thế nào khi số tenant tăng/giảm?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tenant chia sẻ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Personnel / tenant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năm 2+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 năm 2+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 năm 2+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 (giai đoạn đầu)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1.550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−58%  🔴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1.150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−43%  🔴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480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830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−27%  🟡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340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690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−5%  🟡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240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590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+10%  🟢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160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510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+22%  🟢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470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+28%  🟢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8"/>
                <w:szCs w:val="18"/>
              </w:rPr>
              <w:t xml:space="preserve">⭐ ĐIỂM NHẤN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Break-even point: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~8 tenant. Dưới mức này → lỗ năm 2+.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Reborn cần đạt 8 khách STANDARD trong 12 tháng đầu để cash flow dương.</w:t>
            </w:r>
          </w:p>
        </w:tc>
      </w:tr>
    </w:tbl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7.  SO SÁNH DOANH THU / LỢI NHUẬN — 3 MÔ HÌNH BÁN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Với gói STANDARD, 3 mô hình pricing khác nhau cho cùng 1 khách: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hình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 2+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3-year Revenue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 margin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Milestone (mặc định)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656/năm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2.824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Margin ~34% nếu 10+ tenant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One-time + 18% maintenance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272 maint + 192 host = 464/năm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2.440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Maintenance lạc quan hơn nếu ít update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Subscription SaaS (chia 5 năm)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730/năm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730/năm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3.650 (5 năm)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Margin cao dài hạn nhờ lock-in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Cam kết 3 năm (−15% TCV)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2.400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Tiền trước, giảm rủi ro, margin thực 29%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8.  ĐỀ XUẤT PRICING CHIẾN LƯỢC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8.1.  Vấn đề hiện tại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Sau khi giảm 20% để cạnh tranh, các gói margin mỏng hoặc âm ở giai đoạn ít tenant (dưới 8 khách). Rủi ro: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Nếu chỉ bán được 2–3 khách đầu → Reborn lỗ ròng đáng kể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Khó tái đầu tư vào product + team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Áp lực phải bán nhanh để đạt break-even tenant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8.2.  3 tuỳ chọn điều chỉnh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Tuỳ chọn 1 — Giữ nguyên giá đã giảm 20% (đầu tư thương hiệu)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Coi đây là "đầu tư thương hiệu" — có khách đầu tiên trong ngành bán lẻ lớn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Margin thấp nhưng có case study, chứng minh sẵn sàng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Chỉ áp dụng cho 1–2 khách lớn nhất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Tuỳ chọn 2 — Giảm 10% thay vì 20% (cân bằng)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STANDARD: 1.700tr (thay vì 1.512tr), margin năm 1 ~20%, 3-year ~18%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Vẫn cạnh tranh so với vendor quốc tế (3,5–5 tỷ) và build in-house (11–12 tỷ)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Khách cảm thấy đã được ưu đãi đáng kể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Tuỳ chọn 3 — Giữ giá giảm 20% nhưng tăng phí năm 2+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Năm 1 vẫn 1.512tr (dễ ký hợp đồng vì giá cạnh tranh)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Năm 2+ tăng từ 656tr → 880tr (thay cho 820tr gốc)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Sau 3 năm TCV: 3.272tr, margin ~22%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Khó chịu hơn với khách vì cam kết dài hạn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8.3.  Khuyến nghị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Với khách chuỗi siêu thị này (chiến lược):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Giữ gói STANDARD ở 1.512tr (đã giảm 20%)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Upsell mạnh 3–5 add-ons: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mini-app Zalo 176tr + SDK mobile 144tr + Marketing extensions + ISO consulting 144tr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Add-on margin cao ~50% (template sẵn) → bù được phần giảm 20% gốc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Ước doanh thu thực tế sau upsell: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1.512tr + ~500tr add-ons = ~2.000tr năm 1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, margin quay lại 25–30%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Với khách tiếp theo: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Giảm chỉ 10–12% mặc định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Chỉ giảm 20% khi khách chiến lược / deal lớn</w:t>
      </w:r>
    </w:p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9.  KẾT LUẬN SO SÁNH TỔNG THỂ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9.1.  Cho khách hàng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Tự xây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Reborn STANDARD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Chi phí 3 năm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11–15 tỷ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2,8 tỷ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Thời gian go-live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18–24 tháng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 tháng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Rủi ro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Rất cao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Tùy chỉnh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Tối đa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Cao (configurable)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Kiến thức retail-specific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Phải học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Đã có sẵn (20 tính năng)</w:t>
            </w:r>
          </w:p>
        </w:tc>
      </w:tr>
      <w:tr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Kết luận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Chỉ phù hợp khi có nhu cầu độc đáo, ngân sách dư, sẵn 2 năm</w:t>
            </w:r>
          </w:p>
        </w:tc>
        <w:tc>
          <w:tcPr>
            <w:tcW w:type="dxa" w:w="3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Phù hợp 95% khách bán lẻ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Mua Reborn tiết kiệm ~70–80% chi phí + 3× nhanh hơn so với tự xây.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9.2.  Cho Reborn (nội bộ)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Chi phí build lại từ đầu (nếu phải)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~11,7 tỷ + 18 tháng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Chi phí impl per-khách STANDARD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~545 triệu (one-time)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Chi phí vận hành per-khách/năm (5-tenant)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~830 triệu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Chi phí vận hành per-khách/năm (10-tenant)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~590 triệu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Doanh thu STANDARD năm 1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 triệu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Margin năm 1 (5-tenant)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~9% (cần upsell để lên 25–30%)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Margin 3-year (10-tenant)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~25%</w:t>
            </w:r>
          </w:p>
        </w:tc>
      </w:tr>
      <w:tr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Margin 3-year (sau upsell + cam kết 3 năm)</w:t>
            </w:r>
          </w:p>
        </w:tc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~30–35%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9.3.  Hành động đề xuất (Action Items)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7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Với deal khách này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Giữ giá 1.512tr, đẩy mạnh upsell add-ons (mini-app Zalo, SDK, ISO consulting) để đạt margin thực tế 25–30%.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Với các deal sau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Mặc định giảm 10–12%, chỉ giảm sâu 20% khi deal chiến lược hoặc khách cam kết 3 năm.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Tuyển đủ tenant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Cần 3–5 khách STANDARD trong 12 tháng đầu để đạt break-even tenant (~8 khách).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Gói STARTER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Xem như "loss leader" — bán để mở cửa vào, đẩy khách lên STANDARD sau 6–12 tháng.</w:t>
            </w:r>
          </w:p>
        </w:tc>
      </w:tr>
      <w:tr>
        <w:trPr>
          <w:trHeight w:val="7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Cam kết 3 năm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Lock-in 3 năm (giảm 15% TCV) ưu tiên hơn hợp đồng 1 năm — cash flow tốt, margin ổn định.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10.  SO SÁNH GIÁ GỐC vs GIẢM 20% — ĐIỂM HÒA VỐN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6B21A8" w:sz="4"/>
              <w:left w:val="single" w:color="6B21A8" w:sz="24"/>
              <w:bottom w:val="single" w:color="6B21A8" w:sz="4"/>
              <w:right w:val="single" w:color="6B21A8" w:sz="4"/>
            </w:tcBorders>
            <w:shd w:fill="EDE9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6B21A8"/>
                <w:sz w:val="18"/>
                <w:szCs w:val="18"/>
              </w:rPr>
              <w:t xml:space="preserve">🔒 NỘI BỘ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Phân tích bổ sung: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Trả lời câu hỏi "Nếu giữ giá gốc không giảm 20% thì margin thế nào?" và "Cần bán bao nhiêu khách / bao lâu để hòa vốn đầu tư platform 11,7 tỷ?".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10.1.  Giữ giá gốc v1.0 (không giảm 20%)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Giá gốc: STARTER 890tr  /  STANDARD 1.890tr  /  PREMIUM 2.990tr (năm 1).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Y1 Rev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Y1 Cost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 Y1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Y2+ Rev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Y2+ Cost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 Y2+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 3Y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890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+11%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490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520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−6%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1.890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1.375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+27%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820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830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−1%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2.990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2.060</w:t>
            </w:r>
          </w:p>
        </w:tc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+31%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1.200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1.240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−3%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+16%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Giá gốc có margin dương đáng kể ở năm 1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nhờ impl fee + license + cấu hình. Năm 2+ margin gần 0 (cần 10+ tenant để dương rõ).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3-year margin STANDARD +14% —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ĐỦ để thu hồi đầu tư trong 5–6 năm.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10.2.  Giá đã giảm 20% v1.1 (hiện tại chào khách)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 Y1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 Y2+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 3Y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−12%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−33%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−23%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+9%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−27%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−7%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+14%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−29%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−5%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10.3.  So sánh chi tiết 2 pricing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GỐC v1.0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Giảm 20% v1.1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Chênh lệch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Margin STANDARD Y1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+27%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+9%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−18pp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Margin STANDARD Y2+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−27%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−26pp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Margin STANDARD 3-year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+14%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−7%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−21pp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Lợi nhuận/khách STANDARD 3Y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+495 triệu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−211 triệu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−706 triệu/khách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Break-even tenant (Y2+)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 khách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 khách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 khách</w:t>
            </w:r>
          </w:p>
        </w:tc>
      </w:tr>
      <w:tr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3-year TCV/khách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3.530 triệu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2.824 triệu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−706 triệu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10.4.  Mô hình tài chính để tính Break-even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0B2E2A"/>
          <w:sz w:val="24"/>
          <w:szCs w:val="24"/>
        </w:rPr>
        <w:t xml:space="preserve">Giả định: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Chi phí đầu tư platform đã bỏ ra (sunk cost): 11,7 tỷ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Team chi phí cố định theo tenant bracket:</w:t>
      </w:r>
    </w:p>
    <w:p>
      <w:pPr>
        <w:pStyle w:val="ListParagraph"/>
        <w:numPr>
          <w:ilvl w:val="1"/>
          <w:numId w:val="1"/>
        </w:numPr>
        <w:spacing w:after="40" w:before="40" w:line="280"/>
        <w:ind w:left="936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1–5 khách: 2.400 triệu/năm (4 FTE)</w:t>
      </w:r>
    </w:p>
    <w:p>
      <w:pPr>
        <w:pStyle w:val="ListParagraph"/>
        <w:numPr>
          <w:ilvl w:val="1"/>
          <w:numId w:val="1"/>
        </w:numPr>
        <w:spacing w:after="40" w:before="40" w:line="280"/>
        <w:ind w:left="936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6–10 khách: 3.800 triệu/năm (6 FTE)</w:t>
      </w:r>
    </w:p>
    <w:p>
      <w:pPr>
        <w:pStyle w:val="ListParagraph"/>
        <w:numPr>
          <w:ilvl w:val="1"/>
          <w:numId w:val="1"/>
        </w:numPr>
        <w:spacing w:after="40" w:before="40" w:line="280"/>
        <w:ind w:left="936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11–15 khách: 5.000 triệu/năm (8 FTE)</w:t>
      </w:r>
    </w:p>
    <w:p>
      <w:pPr>
        <w:pStyle w:val="ListParagraph"/>
        <w:numPr>
          <w:ilvl w:val="1"/>
          <w:numId w:val="1"/>
        </w:numPr>
        <w:spacing w:after="40" w:before="40" w:line="280"/>
        <w:ind w:left="936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16–20 khách: 6.400 triệu/năm (10 FTE)</w:t>
      </w:r>
    </w:p>
    <w:p>
      <w:pPr>
        <w:pStyle w:val="ListParagraph"/>
        <w:numPr>
          <w:ilvl w:val="1"/>
          <w:numId w:val="1"/>
        </w:numPr>
        <w:spacing w:after="40" w:before="40" w:line="280"/>
        <w:ind w:left="936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21–25 khách: 7.500 triệu/năm (12 FTE)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Infra: 350 triệu/năm/tenant (multi-tenant shared)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Implementation: 545 triệu one-time/tenant mới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Giả định 0% churn, tất cả khách đều gói STANDARD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10.5.  Kịch bản với GIÁ GỐC v1.0 — 3 khách STANDARD/năm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Mới</w:t>
            </w:r>
          </w:p>
        </w:tc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Tổng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Lãi năm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Luỹ kế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dư −11,7 tỷ</w:t>
            </w:r>
          </w:p>
        </w:tc>
      </w:tr>
      <w:tr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2.400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1.050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1.635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5.670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5.085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+585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+585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−11.115</w:t>
            </w:r>
          </w:p>
        </w:tc>
      </w:tr>
      <w:tr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3.800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2.100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1.635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8.130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7.535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+595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+1.180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−10.520</w:t>
            </w:r>
          </w:p>
        </w:tc>
      </w:tr>
      <w:tr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3.800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3.150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1.635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10.590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8.585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+2.005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+3.185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−8.515</w:t>
            </w:r>
          </w:p>
        </w:tc>
      </w:tr>
      <w:tr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5.000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4.200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1.635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13.050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10.835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+2.215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+5.400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−6.300</w:t>
            </w:r>
          </w:p>
        </w:tc>
      </w:tr>
      <w:tr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5.000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5.250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1.635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15.510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11.885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+3.625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+9.025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−2.675</w:t>
            </w:r>
          </w:p>
        </w:tc>
      </w:tr>
      <w:tr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 ⭐</w:t>
            </w:r>
          </w:p>
        </w:tc>
        <w:tc>
          <w:tcPr>
            <w:tcW w:type="dxa" w:w="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6.400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6.300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1.635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17.970</w:t>
            </w:r>
          </w:p>
        </w:tc>
        <w:tc>
          <w:tcPr>
            <w:tcW w:type="dxa" w:w="1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14.335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+3.635</w:t>
            </w:r>
          </w:p>
        </w:tc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+12.660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+960 🟢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Break-even ≈ Năm 5 + 9 tháng  ·  ~17 khách cumulative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10.6.  Kịch bản với GIÁ GỐC v1.0 — 5 khách STANDARD/năm (aggressive)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Mới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Tổng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Lãi năm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Luỹ kế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dư −11,7 tỷ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+1.135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+1.135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−10.565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+2.215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+3.350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−8.350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+3.625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+6.975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−4.725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 ⭐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+5.125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+12.100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+400 🟢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Break-even ≈ Năm 3 + 11 tháng  ·  ~20 khách cumulative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10.7.  Kịch bản với GIÁ GIẢM 20% v1.1 — 3 khách STANDARD/năm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Tổng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phí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Lãi năm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Luỹ kế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dư −11,7 tỷ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4.536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5.085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−549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−549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−12.249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6.504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7.535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−1.031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−1.580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−13.280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8.472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8.585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−113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−1.693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−13.393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10.440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10.835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−395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−2.088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−13.788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12.408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11.885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+523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−1.565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−13.265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14.376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14.335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+41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−1.524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−13.224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21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16.344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15.385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+959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−565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−12.265</w:t>
            </w:r>
          </w:p>
        </w:tc>
      </w:tr>
      <w:tr>
        <w:tc>
          <w:tcPr>
            <w:tcW w:type="dxa" w:w="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18.312</w:t>
            </w:r>
          </w:p>
        </w:tc>
        <w:tc>
          <w:tcPr>
            <w:tcW w:type="dxa" w:w="1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17.535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+777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+212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−11.488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24"/>
                <w:szCs w:val="24"/>
              </w:rPr>
              <w:t xml:space="preserve">KHÔNG hòa vốn trong 10 năm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với sales rate 3 khách/năm. Doanh thu thiếu hụt kinh niên, margin 3 năm âm −7%. Nếu giữ pricing này phải tăng sales rate hoặc tăng add-ons.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10.8.  Kịch bản với GIÁ GIẢM 20% v1.1 — 5 khách STANDARD/năm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Tổng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Lãi năm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Luỹ kế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dư −11,7 tỷ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+685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+685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−11.015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+815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+1.500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−10.200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+1.145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+2.645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−9.055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+1.275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+3.920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−7.780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+1.705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+5.625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−6.075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+1.735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+7.360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−4.340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+1.765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+9.125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−2.575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+1.795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+10.920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−780</w:t>
            </w:r>
          </w:p>
        </w:tc>
      </w:tr>
      <w:tr>
        <w:tc>
          <w:tcPr>
            <w:tcW w:type="dxa" w:w="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9 ⭐</w:t>
            </w:r>
          </w:p>
        </w:tc>
        <w:tc>
          <w:tcPr>
            <w:tcW w:type="dxa" w:w="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45</w:t>
            </w:r>
          </w:p>
        </w:tc>
        <w:tc>
          <w:tcPr>
            <w:tcW w:type="dxa" w:w="1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+2.050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+12.970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+1.270 🟢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4"/>
                <w:szCs w:val="24"/>
              </w:rPr>
              <w:t xml:space="preserve">Break-even ≈ Năm 8 + 5 tháng  ·  ~42 khách cumulative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10.9.  BẢNG TỔNG HỢP BREAK-EVEN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Sales rate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Thời gian break-even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khách cần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Giá GỐC v1.0  🟢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 khách/năm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 năm 9 tháng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~17 khách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Giá GỐC v1.0  🟢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 khách/năm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 năm 11 tháng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~20 khách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Giá GỐC v1.0  🟢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 khách/năm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 năm 10 tháng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~20 khách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Giảm 20% v1.1  🔴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 khách/năm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Không hòa vốn trong 10 năm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Giảm 20% v1.1  🟡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 khách/năm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 năm 5 tháng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~42 khách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Giảm 20% v1.1  🟡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 khách/năm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~6 năm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~42 khách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10.10.  KẾT LUẬN CHIẾN LƯỢC PRICING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Option A — Trở lại giá gốc v1.0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Break-even đầu tư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nhanh hơn 2–3 lần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(5–6 năm vs 8–10 năm)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Margin STANDARD 3-year: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+14%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thay vì −7%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Vẫn cạnh tranh vì rẻ hơn vendor quốc tế (3,5–5 tỷ) và tự xây (11,7 tỷ)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B91C1C"/>
          <w:sz w:val="22"/>
          <w:szCs w:val="22"/>
        </w:rPr>
        <w:t xml:space="preserve">Rủi ro: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khách nhạy cảm với giá có thể chọn vendor khác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Option B — Giữ giảm 20% v1.1 (đã chào)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Chỉ nên dành cho 1–2 khách chiến lược để mở thị trường bán lẻ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Phải </w:t>
      </w: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tăng sales rate lên 5+ khách/năm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mới có cơ hội hòa vốn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BẮT BUỘC upsell add-ons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30–50% doanh thu để kéo margin về +20%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Đẩy mạnh cam kết 3 năm (giảm 15% tổng nhưng thu tiền trước)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Option C — Giảm 10% (Sweet spot, khuyến nghị cho deal sau)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STANDARD giá 1.701tr thay vì 1.512tr — khách vẫn cảm thấy được giảm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Margin STANDARD 3-year ước tính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+6 đến +8%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(tích cực hơn nhiều)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Break-even với 3 khách/năm: ~7 năm  ·  với 5 khách/năm: ~5 năm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10.11.  Lộ trình pricing đề xuất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Chính sách giá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tiêu sales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Q2/2026 (deal hiện tại)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Giảm 20% (v1.1) để thắng deal chiến lược đầu tiên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 khách + case study bán lẻ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Q3–Q4/2026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Giảm 10% (default)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2–3 khách bán lẻ lớn</w:t>
            </w:r>
          </w:p>
        </w:tc>
      </w:tr>
      <w:tr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2027+</w:t>
            </w:r>
          </w:p>
        </w:tc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Giá gốc v1.0 (premium brand positioning)</w:t>
            </w:r>
          </w:p>
        </w:tc>
        <w:tc>
          <w:tcPr>
            <w:tcW w:type="dxa" w:w="3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4–5 khách/năm, break-even 2028-2029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15803D"/>
                <w:sz w:val="24"/>
                <w:szCs w:val="24"/>
              </w:rPr>
              <w:t xml:space="preserve">KHUYẾN NGHỊ CUỐI CÙNG: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Với khách chuỗi siêu thị này (deal đầu tiên):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giữ giá 1.512tr (v1.1),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upsell mạnh add-ons 500+ triệu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để bù margin. Coi như đầu tư case study.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Với khách tiếp theo: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chỉ giảm 10% (v1.2). Giá STANDARD ~1.700tr.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Mục tiêu break-even: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20 khách trong 4 năm (trung bình 5 khách/năm) với mix pricing v1.0 + v1.1 + v1.2.</w:t>
      </w:r>
    </w:p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200" w:hRule="atLeast"/>
        </w:trPr>
        <w:tc>
          <w:tcPr>
            <w:tcW w:type="dxa" w:w="9200"/>
            <w:tcBorders>
              <w:top w:val="single" w:color="6B21A8" w:sz="18"/>
              <w:left w:val="single" w:color="0B2E2A" w:sz="4"/>
              <w:bottom w:val="single" w:color="0B2E2A" w:sz="4"/>
              <w:right w:val="single" w:color="0B2E2A" w:sz="4"/>
            </w:tcBorders>
            <w:shd w:fill="0B2E2A" w:color="auto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26"/>
                <w:szCs w:val="26"/>
              </w:rPr>
              <w:t xml:space="preserve">R E B O R N  J S C  —  INTERNAL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EDE9FE"/>
                <w:sz w:val="18"/>
                <w:szCs w:val="18"/>
              </w:rPr>
              <w:t xml:space="preserve">Tài liệu phân tích chỉ dùng cho BOD &amp; Team Sales</w:t>
            </w:r>
          </w:p>
          <w:p>
            <w:pPr>
              <w:spacing w:after="120" w:before="40"/>
              <w:jc w:val="center"/>
            </w:pPr>
            <w:r>
              <w:rPr>
                <w:rFonts w:ascii="Calibri" w:cs="Calibri" w:eastAsia="Calibri" w:hAnsi="Calibri"/>
                <w:color w:val="EDE9FE"/>
                <w:sz w:val="16"/>
                <w:szCs w:val="16"/>
              </w:rPr>
              <w:t xml:space="preserve">Cập nhật khi thay đổi pricing hoặc số liệu tenant thực tế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2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21A8" w:sz="4" w:space="4"/>
      </w:pBdr>
      <w:jc w:val="center"/>
    </w:pPr>
    <w:r>
      <w:rPr>
        <w:rFonts w:ascii="Calibri" w:cs="Calibri" w:eastAsia="Calibri" w:hAnsi="Calibri"/>
        <w:color w:val="6B8A85"/>
        <w:sz w:val="16"/>
        <w:szCs w:val="16"/>
      </w:rPr>
      <w:t xml:space="preserve">Trang </w:t>
    </w:r>
    <w:r>
      <w:rPr>
        <w:color w:val="6B8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8A85"/>
        <w:sz w:val="16"/>
        <w:szCs w:val="16"/>
      </w:rPr>
      <w:t xml:space="preserve"> / </w:t>
    </w:r>
    <w:r>
      <w:rPr>
        <w:color w:val="6B8A8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/>
        <w:bCs/>
        <w:color w:val="6B21A8"/>
        <w:sz w:val="16"/>
        <w:szCs w:val="16"/>
      </w:rPr>
      <w:t xml:space="preserve">    •    TÀI LIỆU NỘI BỘ — KHÔNG GỬI KHÁCH    •    Reborn JSC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 w:space="4"/>
      </w:pBdr>
      <w:jc w:val="center"/>
    </w:pPr>
    <w:r>
      <w:rPr>
        <w:rFonts w:ascii="Calibri" w:cs="Calibri" w:eastAsia="Calibri" w:hAnsi="Calibri"/>
        <w:b/>
        <w:bCs/>
        <w:color w:val="00C9A7"/>
        <w:spacing w:val="40"/>
        <w:sz w:val="16"/>
        <w:szCs w:val="16"/>
      </w:rPr>
      <w:t xml:space="preserve">REBORN JSC</w:t>
    </w:r>
    <w:r>
      <w:rPr>
        <w:rFonts w:ascii="Calibri" w:cs="Calibri" w:eastAsia="Calibri" w:hAnsi="Calibri"/>
        <w:color w:val="6B8A85"/>
        <w:sz w:val="16"/>
        <w:szCs w:val="16"/>
      </w:rPr>
      <w:t xml:space="preserve">    •    </w:t>
    </w:r>
    <w:r>
      <w:rPr>
        <w:rFonts w:ascii="Calibri" w:cs="Calibri" w:eastAsia="Calibri" w:hAnsi="Calibri"/>
        <w:color w:val="6B8A85"/>
        <w:sz w:val="16"/>
        <w:szCs w:val="16"/>
      </w:rPr>
      <w:t xml:space="preserve">Phân tích Tài chính Loyalty</w:t>
    </w:r>
    <w:r>
      <w:rPr>
        <w:rFonts w:ascii="Calibri" w:cs="Calibri" w:eastAsia="Calibri" w:hAnsi="Calibri"/>
        <w:color w:val="6B8A85"/>
        <w:sz w:val="16"/>
        <w:szCs w:val="16"/>
      </w:rPr>
      <w:t xml:space="preserve">    •    </w:t>
    </w:r>
    <w:r>
      <w:rPr>
        <w:rFonts w:ascii="Calibri" w:cs="Calibri" w:eastAsia="Calibri" w:hAnsi="Calibri"/>
        <w:b/>
        <w:bCs/>
        <w:color w:val="6B21A8"/>
        <w:sz w:val="16"/>
        <w:szCs w:val="16"/>
      </w:rPr>
      <w:t xml:space="preserve">🔒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Tài chính — Loyalty Platform (Internal)</dc:title>
  <dc:creator>Reborn JSC</dc:creator>
  <dc:description>Phân tích chi phí, doanh thu, margin — nội bộ</dc:description>
  <cp:lastModifiedBy>Un-named</cp:lastModifiedBy>
  <cp:revision>1</cp:revision>
  <dcterms:created xsi:type="dcterms:W3CDTF">2026-04-23T09:04:51.150Z</dcterms:created>
  <dcterms:modified xsi:type="dcterms:W3CDTF">2026-04-23T09:04:51.151Z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