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1400" w:hRule="exact"/>
        </w:trPr>
        <w:tc>
          <w:tcPr>
            <w:tcW w:type="dxa" w:w="9200"/>
            <w:tcBorders>
              <w:top w:val="none" w:color="auto" w:sz="0"/>
              <w:left w:val="none" w:color="auto" w:sz="0"/>
              <w:bottom w:val="single" w:color="6B21A8" w:sz="18"/>
              <w:right w:val="none" w:color="auto" w:sz="0"/>
            </w:tcBorders>
            <w:shd w:fill="0B2E2A" w:color="auto" w:val="clear"/>
            <w:vAlign w:val="center"/>
          </w:tcPr>
          <w:p>
            <w:pPr>
              <w:spacing w:after="60" w:befor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pacing w:val="80"/>
                <w:sz w:val="36"/>
                <w:szCs w:val="36"/>
              </w:rPr>
              <w:t xml:space="preserve">R E B O R 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A3C"/>
                <w:spacing w:val="60"/>
                <w:sz w:val="18"/>
                <w:szCs w:val="18"/>
              </w:rPr>
              <w:t xml:space="preserve">CAPEX ALLOCATION ANALYSIS</w:t>
            </w:r>
          </w:p>
        </w:tc>
      </w:tr>
    </w:tbl>
    <w:p>
      <w:pPr>
        <w:spacing w:after="400" w:before="4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120" w:before="0" w:line="300"/>
        <w:jc w:val="center"/>
      </w:pPr>
      <w:r>
        <w:rPr>
          <w:rFonts w:ascii="Calibri" w:cs="Calibri" w:eastAsia="Calibri" w:hAnsi="Calibri"/>
          <w:b/>
          <w:bCs/>
          <w:caps/>
          <w:color w:val="6B21A8"/>
          <w:spacing w:val="60"/>
          <w:sz w:val="22"/>
          <w:szCs w:val="22"/>
        </w:rPr>
        <w:t xml:space="preserve">PHÂN TÍCH PHÂN BỔ CAPEX</w:t>
      </w:r>
    </w:p>
    <w:p>
      <w:pPr>
        <w:spacing w:after="40" w:before="0" w:line="300"/>
        <w:jc w:val="center"/>
      </w:pPr>
      <w:r>
        <w:rPr>
          <w:rFonts w:ascii="Calibri" w:cs="Calibri" w:eastAsia="Calibri" w:hAnsi="Calibri"/>
          <w:b/>
          <w:bCs/>
          <w:color w:val="0B2E2A"/>
          <w:sz w:val="52"/>
          <w:szCs w:val="52"/>
        </w:rPr>
        <w:t xml:space="preserve">Pricing Loyalty Platform</w:t>
      </w:r>
    </w:p>
    <w:p>
      <w:pPr>
        <w:spacing w:after="240" w:before="0" w:line="300"/>
        <w:jc w:val="center"/>
      </w:pPr>
      <w:r>
        <w:rPr>
          <w:rFonts w:ascii="Calibri" w:cs="Calibri" w:eastAsia="Calibri" w:hAnsi="Calibri"/>
          <w:b/>
          <w:bCs/>
          <w:color w:val="0B2E2A"/>
          <w:sz w:val="28"/>
          <w:szCs w:val="28"/>
        </w:rPr>
        <w:t xml:space="preserve">Thông lệ ngành · Số khách hoàn vốn · Giá chào điều chỉnh</w:t>
      </w:r>
    </w:p>
    <w:p>
      <w:pPr>
        <w:spacing w:after="200" w:before="2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700" w:hRule="atLeast"/>
        </w:trP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CÂU HỎI 1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Phân bổ khấu hao CAPEX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4"/>
                <w:szCs w:val="14"/>
              </w:rPr>
              <w:t xml:space="preserve">cho bao nhiêu khách thì hết?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CÂU HỎI 2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Áp dụng phân bổ đó thì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4"/>
                <w:szCs w:val="14"/>
              </w:rPr>
              <w:t xml:space="preserve">giá chào điều chỉnh thế nào?</w:t>
            </w:r>
          </w:p>
        </w:tc>
      </w:tr>
      <w:tr>
        <w:trPr>
          <w:trHeight w:val="700" w:hRule="atLeast"/>
        </w:trPr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CAPEX ĐẦU TƯ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11,7 tỷ VND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4"/>
                <w:szCs w:val="14"/>
              </w:rPr>
              <w:t xml:space="preserve">Đã build Reborn Loyalty Platform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0C9A7"/>
                <w:spacing w:val="40"/>
                <w:sz w:val="16"/>
                <w:szCs w:val="16"/>
              </w:rPr>
              <w:t xml:space="preserve">ĐỀ XUẤT N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18"/>
                <w:szCs w:val="18"/>
              </w:rPr>
              <w:t xml:space="preserve">15 khách  ·  5 năm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6B8A85"/>
                <w:sz w:val="14"/>
                <w:szCs w:val="14"/>
              </w:rPr>
              <w:t xml:space="preserve">= 780 triệu CAPEX / khách</w:t>
            </w:r>
          </w:p>
        </w:tc>
      </w:tr>
    </w:tbl>
    <w:p>
      <w:pPr>
        <w:spacing w:after="400" w:before="4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900" w:hRule="atLeast"/>
        </w:trPr>
        <w:tc>
          <w:tcPr>
            <w:tcW w:type="dxa" w:w="9200"/>
            <w:tcBorders>
              <w:top w:val="single" w:color="FF8A3C" w:sz="18"/>
              <w:left w:val="single" w:color="6B21A8" w:sz="4"/>
              <w:bottom w:val="single" w:color="6B21A8" w:sz="4"/>
              <w:right w:val="single" w:color="6B21A8" w:sz="4"/>
            </w:tcBorders>
            <w:shd w:fill="6B21A8" w:color="auto" w:val="clear"/>
          </w:tcPr>
          <w:p>
            <w:pPr>
              <w:spacing w:after="80" w:before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2"/>
                <w:szCs w:val="22"/>
              </w:rPr>
              <w:t xml:space="preserve">🔒   TÀI LIỆU NỘI BỘ — KHÔNG GỬI KHÁCH HÀNG</w:t>
            </w:r>
          </w:p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color w:val="EDE9FE"/>
                <w:sz w:val="18"/>
                <w:szCs w:val="18"/>
              </w:rPr>
              <w:t xml:space="preserve">Phân tích pricing strategy cho BOD &amp; Team Sales Reborn JSC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MỤC LỤC</w:t>
      </w:r>
    </w:p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1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KHÁI NIỆM — CAPEX ALLOCATION LÀ GÌ?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3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2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THÔNG LỆ PHÂN BỔ — BENCHMARK NGÀNH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4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3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BỐI CẢNH REBORN — CHỌN N PHÙ HỢP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5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4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CÔNG THỨC TÍNH GIÁ THEO CAPEX ALLOCATION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7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5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PRICING MỚI — REBORN v1.2 (N=15)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8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6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SO SÁNH 3 PHIÊN BẢN GIÁ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9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7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PHÂN TÍCH ĐỘ NHẠY — THAY ĐỔI N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10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8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CHIẾN LƯỢC ÁP DỤNG THỰC TẾ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11</w:t>
            </w:r>
          </w:p>
        </w:tc>
      </w:tr>
      <w:tr>
        <w:trPr>
          <w:trHeight w:val="400" w:hRule="atLeast"/>
        </w:trPr>
        <w:tc>
          <w:tcPr>
            <w:tcW w:type="dxa" w:w="7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2"/>
                <w:szCs w:val="22"/>
              </w:rPr>
              <w:t xml:space="preserve">9</w:t>
            </w:r>
          </w:p>
        </w:tc>
        <w:tc>
          <w:tcPr>
            <w:tcW w:type="dxa" w:w="75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TÓM TẮT NGẮN — KEY NUMBERS</w:t>
            </w:r>
          </w:p>
        </w:tc>
        <w:tc>
          <w:tcPr>
            <w:tcW w:type="dxa" w:w="1000"/>
            <w:tcBorders>
              <w:top w:val="none"/>
              <w:left w:val="none"/>
              <w:bottom w:val="dotted" w:color="D9E0DE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6B8A85"/>
                <w:sz w:val="20"/>
                <w:szCs w:val="20"/>
              </w:rPr>
              <w:t xml:space="preserve">13</w:t>
            </w:r>
          </w:p>
        </w:tc>
      </w:tr>
    </w:tbl>
    <w:p>
      <w:pPr>
        <w:spacing w:after="480" w:before="4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6B21A8" w:sz="4"/>
              <w:left w:val="single" w:color="6B21A8" w:sz="24"/>
              <w:bottom w:val="single" w:color="6B21A8" w:sz="4"/>
              <w:right w:val="single" w:color="6B21A8" w:sz="4"/>
            </w:tcBorders>
            <w:shd w:fill="EDE9F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6B21A8"/>
                <w:sz w:val="18"/>
                <w:szCs w:val="18"/>
              </w:rPr>
              <w:t xml:space="preserve">🔒 NỘI BỘ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Tài liệu này trả lời 2 câu hỏi cốt lõi: </w:t>
            </w:r>
            <w:r>
              <w:rPr>
                <w:rFonts w:ascii="Calibri" w:cs="Calibri" w:eastAsia="Calibri" w:hAnsi="Calibri"/>
                <w:b/>
                <w:bCs/>
                <w:color w:val="1A2B28"/>
                <w:sz w:val="22"/>
                <w:szCs w:val="22"/>
              </w:rPr>
              <w:t xml:space="preserve">(1) thông lệ ngành phân bổ CAPEX cho bao nhiêu khách B2B SaaS upper-mid,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và </w:t>
            </w:r>
            <w:r>
              <w:rPr>
                <w:rFonts w:ascii="Calibri" w:cs="Calibri" w:eastAsia="Calibri" w:hAnsi="Calibri"/>
                <w:b/>
                <w:bCs/>
                <w:color w:val="1A2B28"/>
                <w:sz w:val="22"/>
                <w:szCs w:val="22"/>
              </w:rPr>
              <w:t xml:space="preserve">(2) nếu áp dụng thông lệ đó thì giá chào mới (v1.2) khác giá hiện tại thế nào.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1.  KHÁI NIỆM — CAPEX ALLOCATION LÀ GÌ?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CAPEX (Capital Expenditure) trong SaaS = chi phí đã bỏ ra để xây dựng phần mềm (sunk cost). Theo chuẩn kế toán (VAS 04 / IFRS IAS 38), đây là tài sản vô hình — khấu hao theo thời gian sử dụng.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Trong pricing B2B SaaS, CAPEX được thu hồi qua doanh thu nhiều khách hàng theo 2 cách song song: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1.1.  Phân bổ theo THỜI GIAN (Amortization — góc nhìn kế toán)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Useful life thông thường: 5 năm (phần mềm B2B VN chuẩn VAS)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Range phổ biến: 3 – 10 năm tuỳ loại phần mềm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Công thức: </w:t>
      </w: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Khấu hao/năm = CAPEX / useful_life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1.2.  Phân bổ theo SỐ KHÁCH (Unit Economics — góc nhìn pricing)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Số khách kỳ vọng để hoàn vốn CAPEX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Công thức: </w:t>
      </w: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CAPEX/customer = CAPEX / N_target_customers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Đây là con số quyết định price floor khi chào khách</w:t>
      </w:r>
    </w:p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FF8A3C" w:sz="4"/>
              <w:left w:val="single" w:color="FF8A3C" w:sz="24"/>
              <w:bottom w:val="single" w:color="FF8A3C" w:sz="4"/>
              <w:right w:val="single" w:color="FF8A3C" w:sz="4"/>
            </w:tcBorders>
            <w:shd w:fill="FFF7ED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FF8A3C"/>
                <w:sz w:val="18"/>
                <w:szCs w:val="18"/>
              </w:rPr>
              <w:t xml:space="preserve">💡 LƯU Ý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2"/>
                <w:szCs w:val="22"/>
              </w:rPr>
              <w:t xml:space="preserve">Hai cách này phải NHẤT QUÁN: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trong useful life (VD 5 năm), Reborn phải bán đủ N khách để thu hồi CAPEX. Nếu không → lỗ vốn hoặc phải kéo dài recovery → margin âm.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2.  THÔNG LỆ PHÂN BỔ — BENCHMARK NGÀNH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2.1.  Theo phân khúc thị trường (ACV — Annual Contract Value)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Phân khúc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ACV trung bình</w:t>
            </w:r>
          </w:p>
        </w:tc>
        <w:tc>
          <w:tcPr>
            <w:tcW w:type="dxa" w:w="2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khách hoàn vốn CAPEX</w:t>
            </w:r>
          </w:p>
        </w:tc>
        <w:tc>
          <w:tcPr>
            <w:tcW w:type="dxa" w:w="2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Mass SaaS cho SME nhỏ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&lt; $10K/năm</w:t>
            </w:r>
          </w:p>
        </w:tc>
        <w:tc>
          <w:tcPr>
            <w:tcW w:type="dxa" w:w="2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500 – 3.000 khách</w:t>
            </w:r>
          </w:p>
        </w:tc>
        <w:tc>
          <w:tcPr>
            <w:tcW w:type="dxa" w:w="2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Slack Free, KiotViet SME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Mid-market SaaS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$10K – $50K/năm</w:t>
            </w:r>
          </w:p>
        </w:tc>
        <w:tc>
          <w:tcPr>
            <w:tcW w:type="dxa" w:w="2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50 – 200 khách</w:t>
            </w:r>
          </w:p>
        </w:tc>
        <w:tc>
          <w:tcPr>
            <w:tcW w:type="dxa" w:w="2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MISA AMIS, Base HRM, Bravo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Upper-mid / Vertical  ⭐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$50K – $200K/năm</w:t>
            </w:r>
          </w:p>
        </w:tc>
        <w:tc>
          <w:tcPr>
            <w:tcW w:type="dxa" w:w="2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15 – 30 khách</w:t>
            </w:r>
          </w:p>
        </w:tc>
        <w:tc>
          <w:tcPr>
            <w:tcW w:type="dxa" w:w="2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Vertical retail/loyalty  ·  Reborn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Enterprise SaaS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&gt; $200K/năm</w:t>
            </w:r>
          </w:p>
        </w:tc>
        <w:tc>
          <w:tcPr>
            <w:tcW w:type="dxa" w:w="2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 – 15 khách</w:t>
            </w:r>
          </w:p>
        </w:tc>
        <w:tc>
          <w:tcPr>
            <w:tcW w:type="dxa" w:w="2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SAP, Oracle, SFDC Enterprise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Niche vertical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&gt; $500K/năm</w:t>
            </w:r>
          </w:p>
        </w:tc>
        <w:tc>
          <w:tcPr>
            <w:tcW w:type="dxa" w:w="2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 – 10 khách</w:t>
            </w:r>
          </w:p>
        </w:tc>
        <w:tc>
          <w:tcPr>
            <w:tcW w:type="dxa" w:w="2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Core banking, Bloomberg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2.2.  Theo cách tiếp cận tài chính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khách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Phù hợp khi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Aggressive (3-year payback)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 – 15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Có VC backing, thị trường nóng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Giá chào cao, khó thắng deal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Balanced (5-year payback)  ⭐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15 – 25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Bootstrap / scale-up giai đoạn mid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Cân bằng — đề xuất cho Reborn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Conservative (7-year payback)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25 – 40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Công ty lớn, bão hoà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Margin mỏng, áp lực cash flow</w:t>
            </w:r>
          </w:p>
        </w:tc>
      </w:tr>
      <w:tr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Mass adoption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100+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Mass market SaaS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Chỉ phù hợp khi ACV thấp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2.3.  Đặc thù thị trường Việt Nam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Phân khúc khách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ACV USD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ACV VND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khách recovery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SME ≤ 10 NV / ≤ 10 store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$500 – $5K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 – 120 triệu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1.000 – 5.000 khách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SMB / Mid-small (10–50 NV)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$5K – $20K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120 – 500 triệu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200 – 800 khách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Mid-market (50–500 NV/store)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$20K – $80K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500tr – 2 tỷ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50 – 150 khách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Upper-mid market  ⭐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$80K – $200K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2 – 5 tỷ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15 – 30 khách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Enterprise (500+ NV/store)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$200K+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5+ tỷ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 – 15 khách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3.  BỐI CẢNH REBORN — CHỌN N PHÙ HỢP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3.1.  Phân tích phân khúc Reborn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ACV gói STANDARD (năm 1)</w:t>
            </w:r>
          </w:p>
        </w:tc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1.890 triệu VND ≈ $75K USD</w:t>
            </w:r>
          </w:p>
        </w:tc>
      </w:tr>
      <w:tr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ACV gói STANDARD (năm 2+)</w:t>
            </w:r>
          </w:p>
        </w:tc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820 triệu ≈ $33K USD</w:t>
            </w:r>
          </w:p>
        </w:tc>
      </w:tr>
      <w:tr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ACV trung bình 3 năm</w:t>
            </w:r>
          </w:p>
        </w:tc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1.177 triệu ≈ $47K USD</w:t>
            </w:r>
          </w:p>
        </w:tc>
      </w:tr>
      <w:tr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Phân khúc theo ACV</w:t>
            </w:r>
          </w:p>
        </w:tc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Upper-mid market (vertical retail)</w:t>
            </w:r>
          </w:p>
        </w:tc>
      </w:tr>
      <w:tr>
        <w:tc>
          <w:tcPr>
            <w:tcW w:type="dxa" w:w="4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Target khách</w:t>
            </w:r>
          </w:p>
        </w:tc>
        <w:tc>
          <w:tcPr>
            <w:tcW w:type="dxa" w:w="5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Chuỗi bán lẻ 100–1.500 store, 1M+ KHTV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3.2.  Quy mô thị trường Việt Nam (2026)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Nhóm khách target</w:t>
            </w:r>
          </w:p>
        </w:tc>
        <w:tc>
          <w:tcPr>
            <w:tcW w:type="dxa" w:w="5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Số DN thị trường VN</w:t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Chuỗi siêu thị lớn (&gt;100 store)</w:t>
            </w:r>
          </w:p>
        </w:tc>
        <w:tc>
          <w:tcPr>
            <w:tcW w:type="dxa" w:w="5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15–20 (Winmart, BHX, Coopmart, LottE, AEON...)</w:t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Chuỗi dược phẩm lớn (&gt;50 điểm)</w:t>
            </w:r>
          </w:p>
        </w:tc>
        <w:tc>
          <w:tcPr>
            <w:tcW w:type="dxa" w:w="5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10–15 (Pharmacity, Long Châu, An Khang...)</w:t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Chuỗi F&amp;B / cà phê (&gt;100 điểm)</w:t>
            </w:r>
          </w:p>
        </w:tc>
        <w:tc>
          <w:tcPr>
            <w:tcW w:type="dxa" w:w="5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20–30 (Highlands, Phuc Long, TCH, Trung Nguyên...)</w:t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Chuỗi thời trang / bán lẻ khác</w:t>
            </w:r>
          </w:p>
        </w:tc>
        <w:tc>
          <w:tcPr>
            <w:tcW w:type="dxa" w:w="5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30–50 (Canifa, Elise, Juno...)</w:t>
            </w:r>
          </w:p>
        </w:tc>
      </w:tr>
      <w:tr>
        <w:tc>
          <w:tcPr>
            <w:tcW w:type="dxa" w:w="4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TỔNG market target upper-mid</w:t>
            </w:r>
          </w:p>
        </w:tc>
        <w:tc>
          <w:tcPr>
            <w:tcW w:type="dxa" w:w="5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~75–115 doanh nghiệp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3.3.  Số khách Reborn có thể thắng (realistic)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1A2B28"/>
          <w:sz w:val="22"/>
          <w:szCs w:val="22"/>
        </w:rPr>
        <w:t xml:space="preserve">Thị phần 3 năm đầu: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5–10% thị trường = </w:t>
      </w: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5–10 khách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1A2B28"/>
          <w:sz w:val="22"/>
          <w:szCs w:val="22"/>
        </w:rPr>
        <w:t xml:space="preserve">Thị phần 5 năm: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10–20% = </w:t>
      </w: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10–25 khách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1A2B28"/>
          <w:sz w:val="22"/>
          <w:szCs w:val="22"/>
        </w:rPr>
        <w:t xml:space="preserve">Thị phần 7 năm: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15–30% = </w:t>
      </w: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15–35 khách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3.4.  Đề xuất N = 15 khách / 5 năm  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5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Đánh giá</w:t>
            </w:r>
          </w:p>
        </w:tc>
      </w:tr>
      <w:t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ACV Reborn phù hợp với bracket</w:t>
            </w:r>
          </w:p>
        </w:tc>
        <w:tc>
          <w:tcPr>
            <w:tcW w:type="dxa" w:w="5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Upper-mid ($50K–$200K) → 15–30 khách</w:t>
            </w:r>
          </w:p>
        </w:tc>
      </w:tr>
      <w:t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Quy mô thị trường VN</w:t>
            </w:r>
          </w:p>
        </w:tc>
        <w:tc>
          <w:tcPr>
            <w:tcW w:type="dxa" w:w="5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75–115 khách target → 15 khách = 13–20% thị phần khả thi</w:t>
            </w:r>
          </w:p>
        </w:tc>
      </w:tr>
      <w:t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Bootstrap (không có VC áp lực 3-year)</w:t>
            </w:r>
          </w:p>
        </w:tc>
        <w:tc>
          <w:tcPr>
            <w:tcW w:type="dxa" w:w="5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 năm payback hợp lý</w:t>
            </w:r>
          </w:p>
        </w:tc>
      </w:tr>
      <w:t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Useful life phần mềm (VAS 5 năm)</w:t>
            </w:r>
          </w:p>
        </w:tc>
        <w:tc>
          <w:tcPr>
            <w:tcW w:type="dxa" w:w="5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Khớp với 5-year recovery</w:t>
            </w:r>
          </w:p>
        </w:tc>
      </w:tr>
      <w:tr>
        <w:tc>
          <w:tcPr>
            <w:tcW w:type="dxa" w:w="3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So với benchmark vertical SaaS</w:t>
            </w:r>
          </w:p>
        </w:tc>
        <w:tc>
          <w:tcPr>
            <w:tcW w:type="dxa" w:w="5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 khách là median cho upper-mid vertical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aps/>
                <w:color w:val="15803D"/>
                <w:sz w:val="22"/>
                <w:szCs w:val="22"/>
              </w:rPr>
              <w:t xml:space="preserve">KẾT LUẬN: 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Reborn nên target phân bổ CAPEX cho </w:t>
            </w:r>
            <w:r>
              <w:rPr>
                <w:rFonts w:ascii="Calibri" w:cs="Calibri" w:eastAsia="Calibri" w:hAnsi="Calibri"/>
                <w:b/>
                <w:bCs/>
                <w:color w:val="15803D"/>
                <w:sz w:val="24"/>
                <w:szCs w:val="24"/>
              </w:rPr>
              <w:t xml:space="preserve">15 khách trong 5 năm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. Các tham chiếu khác: Aggressive N=10 (3-year, có VC), Conservative N=20 (7-year, thị trường khó).</w:t>
            </w:r>
          </w:p>
        </w:tc>
      </w:tr>
    </w:tbl>
    <w:p>
      <w:pPr>
        <w:pStyle w:val="Heading1"/>
        <w:keepNext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4.  CÔNG THỨC TÍNH GIÁ THEO CAPEX ALLOCATION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4.1.  Framework tính giá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B45309" w:sz="4"/>
              <w:left w:val="single" w:color="B45309" w:sz="24"/>
              <w:bottom w:val="single" w:color="B45309" w:sz="4"/>
              <w:right w:val="single" w:color="B45309" w:sz="4"/>
            </w:tcBorders>
            <w:shd w:fill="FEF3C7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B45309"/>
                <w:sz w:val="18"/>
                <w:szCs w:val="18"/>
              </w:rPr>
              <w:t xml:space="preserve">⭐ ĐIỂM NHẤN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4"/>
                <w:szCs w:val="24"/>
              </w:rPr>
              <w:t xml:space="preserve">Giá chào 3 năm (TCV) = Cost operational 3Y + CAPEX allocation + Margin target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28"/>
          <w:sz w:val="22"/>
          <w:szCs w:val="22"/>
        </w:rPr>
        <w:t xml:space="preserve">Trong đó: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1A2B28"/>
          <w:sz w:val="22"/>
          <w:szCs w:val="22"/>
        </w:rPr>
        <w:t xml:space="preserve">Cost operational 3Y (STANDARD):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3.035 triệu (impl + infra + personnel)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1A2B28"/>
          <w:sz w:val="22"/>
          <w:szCs w:val="22"/>
        </w:rPr>
        <w:t xml:space="preserve">CAPEX allocation / khách: </w:t>
      </w:r>
      <w:r>
        <w:rPr>
          <w:rFonts w:ascii="Calibri" w:cs="Calibri" w:eastAsia="Calibri" w:hAnsi="Calibri"/>
          <w:b/>
          <w:bCs/>
          <w:color w:val="6B21A8"/>
          <w:sz w:val="22"/>
          <w:szCs w:val="22"/>
        </w:rPr>
        <w:t xml:space="preserve">11.700 / N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1A2B28"/>
          <w:sz w:val="22"/>
          <w:szCs w:val="22"/>
        </w:rPr>
        <w:t xml:space="preserve">Margin target: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% trên tổng (khuyến nghị 20–25% cho vertical SaaS)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4.2.  Bảng CAPEX/khách theo các kịch bản 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 (số khách hoàn vốn)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CAPEX/khách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Rủi ro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 = 10 (aggressive)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1.170 triệu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3–4 năm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Cao — giá cao, khó thắng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N = 15 (balanced)  ⭐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780 triệu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5 năm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Trung bình — khuyến nghị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 = 20 (conservative)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585 triệu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5–7 năm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Thấp — dễ thắng, chậm thu hồi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 = 25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468 triệu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6–8 năm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Thấp — chậm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 = 30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390 triệu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7–10 năm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Rất thấp — phù hợp mass market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4.3.  Pricing tính lại — Gói STANDARD (margin target 20%)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Giá 3Y = (Cost ops + CAPEX allocation) / (1 − margin%) = (3.035 + CAPEX/N) / 0.80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ops 3Y</w:t>
            </w:r>
          </w:p>
        </w:tc>
        <w:tc>
          <w:tcPr>
            <w:tcW w:type="dxa" w:w="1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CAPEX/khách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3Y (margin 20%)</w:t>
            </w:r>
          </w:p>
        </w:tc>
        <w:tc>
          <w:tcPr>
            <w:tcW w:type="dxa" w:w="1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Giá/năm TB</w:t>
            </w:r>
          </w:p>
        </w:tc>
      </w:tr>
      <w:tr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3.035</w:t>
            </w:r>
          </w:p>
        </w:tc>
        <w:tc>
          <w:tcPr>
            <w:tcW w:type="dxa" w:w="1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1.170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4.205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5.256</w:t>
            </w:r>
          </w:p>
        </w:tc>
        <w:tc>
          <w:tcPr>
            <w:tcW w:type="dxa" w:w="1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1.752</w:t>
            </w:r>
          </w:p>
        </w:tc>
      </w:tr>
      <w:tr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15  ⭐</w:t>
            </w:r>
          </w:p>
        </w:tc>
        <w:tc>
          <w:tcPr>
            <w:tcW w:type="dxa" w:w="1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3.035</w:t>
            </w:r>
          </w:p>
        </w:tc>
        <w:tc>
          <w:tcPr>
            <w:tcW w:type="dxa" w:w="1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780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3.815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4.769</w:t>
            </w:r>
          </w:p>
        </w:tc>
        <w:tc>
          <w:tcPr>
            <w:tcW w:type="dxa" w:w="1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1.590</w:t>
            </w:r>
          </w:p>
        </w:tc>
      </w:tr>
      <w:tr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3.035</w:t>
            </w:r>
          </w:p>
        </w:tc>
        <w:tc>
          <w:tcPr>
            <w:tcW w:type="dxa" w:w="1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585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3.620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4.525</w:t>
            </w:r>
          </w:p>
        </w:tc>
        <w:tc>
          <w:tcPr>
            <w:tcW w:type="dxa" w:w="1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1.508</w:t>
            </w:r>
          </w:p>
        </w:tc>
      </w:tr>
      <w:tr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3.035</w:t>
            </w:r>
          </w:p>
        </w:tc>
        <w:tc>
          <w:tcPr>
            <w:tcW w:type="dxa" w:w="1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468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3.503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4.379</w:t>
            </w:r>
          </w:p>
        </w:tc>
        <w:tc>
          <w:tcPr>
            <w:tcW w:type="dxa" w:w="1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1.460</w:t>
            </w:r>
          </w:p>
        </w:tc>
      </w:tr>
      <w:tr>
        <w:tc>
          <w:tcPr>
            <w:tcW w:type="dxa" w:w="1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3.035</w:t>
            </w:r>
          </w:p>
        </w:tc>
        <w:tc>
          <w:tcPr>
            <w:tcW w:type="dxa" w:w="1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390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3.425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4.281</w:t>
            </w:r>
          </w:p>
        </w:tc>
        <w:tc>
          <w:tcPr>
            <w:tcW w:type="dxa" w:w="1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1.427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5.  PRICING MỚI — REBORN v1.2 (CAPEX tường minh, N=15)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5.1.  Breakdown đề xuất theo năm — STANDARD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Áp dụng TCV 4.769 triệu cho 3 năm, phân bổ 2 phương án:</w:t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Option A — Cân đối theo năm (flat distribution)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Doanh thu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1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2.150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45% tổng (cao hơn nhờ impl)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2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1.310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3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1.309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TỔNG 3Y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4.769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Option B — Front-loaded (khuyến nghị — giống thông lệ B2B)  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Năm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Doanh thu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Năm 1  ⭐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2.550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53% tổng — bao gồm impl + license + CAPEX chính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2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1.110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23% — subscription + maintenance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Năm 3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1.109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23% — subscription + maintenance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TỔNG 3Y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4.769</w:t>
            </w:r>
          </w:p>
        </w:tc>
        <w:tc>
          <w:tcPr>
            <w:tcW w:type="dxa" w:w="4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5.2.  Pricing mới cho 3 gói — N = 15, margin 20%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ops 3Y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CAPEX (N=15)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3Y mới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Y1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Y2+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1.840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450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2.290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2.863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1.425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720/năm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STANDARD  ⭐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3.035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780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3.815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4.769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2.550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1.110/năm</w:t>
            </w:r>
          </w:p>
        </w:tc>
      </w:tr>
      <w:tr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PREMIUM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4.540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1.110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5.650</w:t>
            </w:r>
          </w:p>
        </w:tc>
        <w:tc>
          <w:tcPr>
            <w:tcW w:type="dxa" w:w="1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7.063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3.820</w:t>
            </w:r>
          </w:p>
        </w:tc>
        <w:tc>
          <w:tcPr>
            <w:tcW w:type="dxa" w:w="11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1.620/năm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0"/>
          <w:szCs w:val="20"/>
        </w:rPr>
        <w:t xml:space="preserve">Ghi chú phân bổ CAPEX theo tier: STARTER giảm 40% (khách SME giá thấp), PREMIUM tăng 40% (khách enterprise chịu được phân bổ cao hơn) so với STANDARD base 780tr. Weighted average vẫn ≈ 780 × 15 = 11.700tr.</w:t>
      </w:r>
    </w:p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6.  SO SÁNH PRICING — 3 PHIÊN BẢN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6.1.  Bảng tổng hợp 3 phiên bản giá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Gói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v1.0 (gốc)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v1.1 (giảm 20%)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v1.2 (CAPEX N=15)  ⭐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STARTER Y1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890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712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1.425 (+60%)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STANDARD Y1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1.890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1.512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2.550 (+35%)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PREMIUM Y1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2.990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2.392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3.820 (+28%)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STANDARD 3Y TCV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3.530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2.824</w:t>
            </w:r>
          </w:p>
        </w:tc>
        <w:tc>
          <w:tcPr>
            <w:tcW w:type="dxa" w:w="26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4.769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6.2.  Implicit CAPEX allocation của từng phiên bản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Implicit CAPEX/khách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 thực tế để hoàn vốn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Payback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v1.0 (gốc)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~688 triệu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17 khách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~5,75 năm (với 3 khách/năm)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v1.1 (−20%)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~0 – 280 triệu (âm nhẹ)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42+ khách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Không hòa vốn trong 10 năm</w:t>
            </w:r>
          </w:p>
        </w:tc>
      </w:tr>
      <w:tr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v1.2 (N=15)  ⭐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780 triệu (tường minh)</w:t>
            </w:r>
          </w:p>
        </w:tc>
        <w:tc>
          <w:tcPr>
            <w:tcW w:type="dxa" w:w="24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15 khách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5 năm đảm bảo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6.3.  Margin so sánh (3 năm)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+2%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+14%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+16%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v1.1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−23%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−7%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−5%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v1.2  ⭐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+18%</w:t>
            </w:r>
          </w:p>
        </w:tc>
        <w:tc>
          <w:tcPr>
            <w:tcW w:type="dxa" w:w="2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+20%</w:t>
            </w:r>
          </w:p>
        </w:tc>
        <w:tc>
          <w:tcPr>
            <w:tcW w:type="dxa" w:w="20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+22%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v1.2 là phiên bản duy nhất đạt margin target 20% ở tất cả gói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và đảm bảo hoàn vốn CAPEX đúng thời hạn 5 năm với 15 khách.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7.  PHÂN TÍCH ĐỘ NHẠY — THAY ĐỔI N</w:t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Giả sử Reborn muốn target margin 20% STANDARD, giá chào tương ứng với các N khác: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STANDARD Y1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3Y TCV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tăng vs v1.0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Khả thi thị trường?</w:t>
            </w:r>
          </w:p>
        </w:tc>
      </w:tr>
      <w:tr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2.800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5.256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+48%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Khó — chỉ deal chiến lược</w:t>
            </w:r>
          </w:p>
        </w:tc>
      </w:tr>
      <w:tr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2.670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5.013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+42%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Khó trung bình</w:t>
            </w:r>
          </w:p>
        </w:tc>
      </w:tr>
      <w:tr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15  ⭐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2.550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4.769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+35%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B9F4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0"/>
                <w:szCs w:val="20"/>
              </w:rPr>
              <w:t xml:space="preserve">Hợp lý</w:t>
            </w:r>
          </w:p>
        </w:tc>
      </w:tr>
      <w:tr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2.440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4.569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+29%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Dễ thắng</w:t>
            </w:r>
          </w:p>
        </w:tc>
      </w:tr>
      <w:tr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2.400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4.525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+28%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Dễ thắng</w:t>
            </w:r>
          </w:p>
        </w:tc>
      </w:tr>
      <w:tr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2.310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4.379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+24%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Rất dễ thắng</w:t>
            </w:r>
          </w:p>
        </w:tc>
      </w:tr>
      <w:tr>
        <w:tc>
          <w:tcPr>
            <w:tcW w:type="dxa" w:w="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2.270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4.281</w:t>
            </w:r>
          </w:p>
        </w:tc>
        <w:tc>
          <w:tcPr>
            <w:tcW w:type="dxa" w:w="1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+21%</w:t>
            </w:r>
          </w:p>
        </w:tc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Rất dễ thắng nhưng chậm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Trade-off chính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N nhỏ (10–12):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Giá cao → khó thắng deal → chậm recovery → rủi ro cao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N = 15 (balanced):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Giá hợp lý → 13–20% thị phần → recovery 5 năm → khuyến nghị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6B8A85"/>
          <w:sz w:val="22"/>
          <w:szCs w:val="22"/>
        </w:rPr>
        <w:t xml:space="preserve">N lớn (25–30):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Giá thấp → dễ thắng → nhưng CAPEX recovery chậm 7–10 năm</w:t>
      </w:r>
    </w:p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8.  CHIẾN LƯỢC ÁP DỤNG THỰC TẾ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8.1.  Vấn đề: Giá v1.2 CAO HƠN v1.0 tới 35%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B91C1C" w:sz="4"/>
              <w:left w:val="single" w:color="B91C1C" w:sz="24"/>
              <w:bottom w:val="single" w:color="B91C1C" w:sz="4"/>
              <w:right w:val="single" w:color="B91C1C" w:sz="4"/>
            </w:tcBorders>
            <w:shd w:fill="FEE2E2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B91C1C"/>
                <w:sz w:val="18"/>
                <w:szCs w:val="18"/>
              </w:rPr>
              <w:t xml:space="preserve">⚠️ CẢNH BÁO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Giá chuẩn CAPEX (2.550tr Y1) cao hơn giá gốc v1.0 (1.890tr Y1) tới </w:t>
            </w: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35%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, và cao hơn giá đang chào khách hiện tại v1.1 (1.512tr) tới </w:t>
            </w: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69%.</w:t>
            </w:r>
            <w:r>
              <w:rPr>
                <w:rFonts w:ascii="Calibri" w:cs="Calibri" w:eastAsia="Calibri" w:hAnsi="Calibri"/>
                <w:color w:val="1A2B28"/>
                <w:sz w:val="22"/>
                <w:szCs w:val="22"/>
              </w:rPr>
              <w:t xml:space="preserve"> Hậu quả: khó thắng deal nếu khách so sánh với vendor khác, khách cảm thấy giá "vừa nâng vừa chào" → mất lòng tin.</w:t>
            </w:r>
          </w:p>
        </w:tc>
      </w:tr>
    </w:tbl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8.2.  3 phương án triển khai</w:t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Phương án 1 — Giữ pricing hiện tại, chấp nhận recovery dài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Giữ v1.0 (3.530tr/khách 3Y) → recovery tại 17 khách, 5.75 năm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v1.1 (2.824tr/khách 3Y) → recovery tại 42 khách, 8–9 năm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Không thay đổi gì về mặt chào khách, không áp lực sale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Kém hiệu quả tài chính nhưng thực tế khả thi</w:t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Phương án 2 — Chuyển dần sang v1.2 (N=15) theo lộ trình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Thời điểm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khách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Q2/2026 (deal khách này)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v1.1 (đã chào, không rút lại)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Khách đầu tiên + case study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Q3–Q4/2026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v1.0 (giá gốc không giảm)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2–3 khách bán lẻ</w:t>
            </w:r>
          </w:p>
        </w:tc>
      </w:tr>
      <w:tr>
        <w:tc>
          <w:tcPr>
            <w:tcW w:type="dxa" w:w="28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2027+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v1.2 (CAPEX đúng, N=15)</w:t>
            </w:r>
          </w:p>
        </w:tc>
        <w:tc>
          <w:tcPr>
            <w:tcW w:type="dxa" w:w="32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3–4 khách/năm, giá premium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color w:val="6B8A85"/>
          <w:sz w:val="22"/>
          <w:szCs w:val="22"/>
        </w:rPr>
        <w:t xml:space="preserve">Dùng 1–2 khách đầu tiên để đánh brand (giá thấp), sau đó lên giá dần khi có case study.</w:t>
      </w:r>
    </w:p>
    <w:p>
      <w:pPr>
        <w:pStyle w:val="Heading3"/>
        <w:keepNext/>
        <w:spacing w:after="100" w:before="280"/>
      </w:pPr>
      <w:r>
        <w:rPr>
          <w:rFonts w:ascii="Calibri" w:cs="Calibri" w:eastAsia="Calibri" w:hAnsi="Calibri"/>
          <w:b/>
          <w:bCs/>
          <w:color w:val="0D3D38"/>
          <w:sz w:val="26"/>
          <w:szCs w:val="26"/>
        </w:rPr>
        <w:t xml:space="preserve">Phương án 3 — v1.2 ngay, tách "premium" + gói "value"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Gói PREMIUM v1.2: 3.820tr Y1 — phân bổ CAPEX đúng, margin 22%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Gói STANDARD v1.0: 1.890tr Y1 (giữ giá gốc, không giảm 20%)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Gói STARTER v1.0: 890tr Y1 (làm loss leader)</w:t>
      </w:r>
    </w:p>
    <w:p>
      <w:pPr>
        <w:pStyle w:val="ListParagraph"/>
        <w:numPr>
          <w:ilvl w:val="0"/>
          <w:numId w:val="1"/>
        </w:numPr>
        <w:spacing w:after="40" w:before="40" w:line="280"/>
        <w:ind w:left="504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>Khách chọn — ai cần ML/Marketing Auto thì trả PREMIUM (hoàn vốn CAPEX nhanh từ gói này)</w:t>
      </w:r>
    </w:p>
    <w:p>
      <w:pPr>
        <w:pStyle w:val="Heading2"/>
        <w:keepNext/>
        <w:spacing w:after="140" w:before="360"/>
      </w:pPr>
      <w:r>
        <w:rPr>
          <w:rFonts w:ascii="Calibri" w:cs="Calibri" w:eastAsia="Calibri" w:hAnsi="Calibri"/>
          <w:b/>
          <w:bCs/>
          <w:color w:val="0B2E2A"/>
          <w:sz w:val="30"/>
          <w:szCs w:val="30"/>
        </w:rPr>
        <w:t xml:space="preserve">8.3.  KHUYẾN NGHỊ CUỐI CÙNG  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22C55E" w:sz="4"/>
              <w:left w:val="single" w:color="22C55E" w:sz="24"/>
              <w:bottom w:val="single" w:color="22C55E" w:sz="4"/>
              <w:right w:val="single" w:color="22C55E" w:sz="4"/>
            </w:tcBorders>
            <w:shd w:fill="ECFDF5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22C55E"/>
                <w:sz w:val="18"/>
                <w:szCs w:val="18"/>
              </w:rPr>
              <w:t xml:space="preserve">✅ KHUYẾN NGHỊ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4"/>
                <w:szCs w:val="24"/>
              </w:rPr>
              <w:t xml:space="preserve">Với bài toán hiện tại của Reborn: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800" w:hRule="atLeast"/>
        </w:trPr>
        <w:tc>
          <w:tcPr>
            <w:tcW w:type="dxa" w:w="90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6B21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4"/>
                <w:szCs w:val="24"/>
              </w:rPr>
              <w:t xml:space="preserve">Deal khách chuỗi siêu thị này</w:t>
            </w:r>
          </w:p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Giữ nguyên v1.1 (1.512tr) — đã chào, không rút. Upsell add-ons aggressively để kéo ARV thực tế lên ~2.000tr → giảm thiểu lỗ.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6B21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4"/>
                <w:szCs w:val="24"/>
              </w:rPr>
              <w:t xml:space="preserve">Deal 2–3 khách tiếp theo trong 2026</w:t>
            </w:r>
          </w:p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Quay về v1.0 (giá gốc), thêm "ưu đãi early customer −10%" → giá thực tế 1.700tr Y1. Margin 3Y ~8–10%, hòa vốn ở 22–25 khách.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6B21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4"/>
                <w:szCs w:val="24"/>
              </w:rPr>
              <w:t xml:space="preserve">Deal từ 2027 trở đi</w:t>
            </w:r>
          </w:p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Chuyển sang v1.2 (CAPEX-đúng, N=15) với ưu đãi linh hoạt: Niêm yết 2.550tr Y1, deal lớn giảm 10–15%, deal chiến lược giảm 20%. Giá thực 2.100–2.300tr → margin 15–18% ổn định.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6B21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3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0B2E2A"/>
                <w:sz w:val="24"/>
                <w:szCs w:val="24"/>
              </w:rPr>
              <w:t xml:space="preserve">Target recovery</w:t>
            </w:r>
          </w:p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 khách STANDARD trong 5 năm (balanced). Mix: 3 STARTER + 10 STANDARD + 2 PREMIUM (realistic cho VN). CAPEX 11,7 tỷ / weighted ACV → recovery Q3–Q4/2030.</w:t>
            </w:r>
          </w:p>
        </w:tc>
      </w:tr>
    </w:tbl>
    <w:p>
      <w:pPr>
        <w:pStyle w:val="Heading1"/>
        <w:keepNext/>
        <w:pageBreakBefore/>
        <w:pBdr>
          <w:bottom w:val="single" w:color="00C9A7" w:sz="1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B2E2A"/>
          <w:sz w:val="40"/>
          <w:szCs w:val="40"/>
        </w:rPr>
        <w:t xml:space="preserve">9.  TÓM TẮT NGẮN — KEY NUMBERS</w:t>
      </w:r>
    </w:p>
    <w:p>
      <w:pPr>
        <w:spacing w:after="160" w:before="16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5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0B2E2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5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CAPEX Reborn đã đầu tư</w:t>
            </w:r>
          </w:p>
        </w:tc>
        <w:tc>
          <w:tcPr>
            <w:tcW w:type="dxa" w:w="3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11,7 tỷ VND</w:t>
            </w:r>
          </w:p>
        </w:tc>
      </w:tr>
      <w:tr>
        <w:tc>
          <w:tcPr>
            <w:tcW w:type="dxa" w:w="5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Phân bổ tiêu chuẩn ngành (vertical mid-market SaaS)</w:t>
            </w:r>
          </w:p>
        </w:tc>
        <w:tc>
          <w:tcPr>
            <w:tcW w:type="dxa" w:w="3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 khách / 5 năm</w:t>
            </w:r>
          </w:p>
        </w:tc>
      </w:tr>
      <w:tr>
        <w:tc>
          <w:tcPr>
            <w:tcW w:type="dxa" w:w="5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CAPEX/khách nếu phân bổ N=15</w:t>
            </w:r>
          </w:p>
        </w:tc>
        <w:tc>
          <w:tcPr>
            <w:tcW w:type="dxa" w:w="3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780 triệu</w:t>
            </w:r>
          </w:p>
        </w:tc>
      </w:tr>
      <w:tr>
        <w:tc>
          <w:tcPr>
            <w:tcW w:type="dxa" w:w="5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Giá STANDARD mới v1.2 (CAPEX đúng, margin 20%)</w:t>
            </w:r>
          </w:p>
        </w:tc>
        <w:tc>
          <w:tcPr>
            <w:tcW w:type="dxa" w:w="3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Y1: 2.550tr  ·  3Y TCV: 4.769tr</w:t>
            </w:r>
          </w:p>
        </w:tc>
      </w:tr>
      <w:tr>
        <w:tc>
          <w:tcPr>
            <w:tcW w:type="dxa" w:w="5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So với v1.0 hiện tại</w:t>
            </w:r>
          </w:p>
        </w:tc>
        <w:tc>
          <w:tcPr>
            <w:tcW w:type="dxa" w:w="3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+35%</w:t>
            </w:r>
          </w:p>
        </w:tc>
      </w:tr>
      <w:tr>
        <w:tc>
          <w:tcPr>
            <w:tcW w:type="dxa" w:w="5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So với v1.1 đã chào khách</w:t>
            </w:r>
          </w:p>
        </w:tc>
        <w:tc>
          <w:tcPr>
            <w:tcW w:type="dxa" w:w="3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+69%</w:t>
            </w:r>
          </w:p>
        </w:tc>
      </w:tr>
      <w:tr>
        <w:tc>
          <w:tcPr>
            <w:tcW w:type="dxa" w:w="5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Margin v1.2 STANDARD 3 năm</w:t>
            </w:r>
          </w:p>
        </w:tc>
        <w:tc>
          <w:tcPr>
            <w:tcW w:type="dxa" w:w="3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+20% (mục tiêu đạt)</w:t>
            </w:r>
          </w:p>
        </w:tc>
      </w:tr>
      <w:tr>
        <w:tc>
          <w:tcPr>
            <w:tcW w:type="dxa" w:w="55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B28"/>
                <w:sz w:val="20"/>
                <w:szCs w:val="20"/>
              </w:rPr>
              <w:t xml:space="preserve">Break-even v1.2</w:t>
            </w:r>
          </w:p>
        </w:tc>
        <w:tc>
          <w:tcPr>
            <w:tcW w:type="dxa" w:w="3700"/>
            <w:tcBorders>
              <w:top w:val="single" w:color="D9E0DE" w:sz="4"/>
              <w:left w:val="single" w:color="D9E0DE" w:sz="4"/>
              <w:bottom w:val="single" w:color="D9E0DE" w:sz="4"/>
              <w:right w:val="single" w:color="D9E0DE" w:sz="4"/>
            </w:tcBorders>
            <w:shd w:fill="F5F9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 w:line="260"/>
              <w:jc w:val="right"/>
            </w:pPr>
            <w:r>
              <w:rPr>
                <w:rFonts w:ascii="Calibri" w:cs="Calibri" w:eastAsia="Calibri" w:hAnsi="Calibri"/>
                <w:color w:val="1A2B28"/>
                <w:sz w:val="20"/>
                <w:szCs w:val="20"/>
              </w:rPr>
              <w:t xml:space="preserve">15 khách · 5 năm (đúng target)</w:t>
            </w:r>
          </w:p>
        </w:tc>
      </w:tr>
    </w:tbl>
    <w:p>
      <w:pPr>
        <w:spacing w:after="240" w:before="24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200"/>
            <w:tcBorders>
              <w:top w:val="single" w:color="6B21A8" w:sz="4"/>
              <w:left w:val="single" w:color="6B21A8" w:sz="24"/>
              <w:bottom w:val="single" w:color="6B21A8" w:sz="4"/>
              <w:right w:val="single" w:color="6B21A8" w:sz="4"/>
            </w:tcBorders>
            <w:shd w:fill="EDE9F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6B21A8"/>
                <w:sz w:val="18"/>
                <w:szCs w:val="18"/>
              </w:rPr>
              <w:t xml:space="preserve">🔒 NỘI BỘ</w:t>
            </w:r>
          </w:p>
          <w:p>
            <w:pPr>
              <w:spacing w:after="60" w:before="0" w:line="280"/>
            </w:pPr>
            <w:r>
              <w:rPr>
                <w:rFonts w:ascii="Calibri" w:cs="Calibri" w:eastAsia="Calibri" w:hAnsi="Calibri"/>
                <w:b/>
                <w:bCs/>
                <w:caps/>
                <w:color w:val="6B21A8"/>
                <w:sz w:val="22"/>
                <w:szCs w:val="22"/>
              </w:rPr>
              <w:t xml:space="preserve">CÂU TRẢ LỜI NGẮN CHO 2 CÂU HỎI CỦA USER: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6B21A8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Phân bổ CAPEX tiêu chuẩn cho B2B SaaS upper-mid vertical (như Reborn Loyalty): </w:t>
      </w: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15 khách trong 5 năm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. Range phổ biến 10–25 tuỳ chiến lược (aggressive → conservative).</w:t>
      </w:r>
    </w:p>
    <w:p>
      <w:pPr>
        <w:spacing w:after="80" w:before="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6B21A8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Nếu áp N=15, giá chào đúng chuẩn sẽ là </w:t>
      </w:r>
      <w:r>
        <w:rPr>
          <w:rFonts w:ascii="Calibri" w:cs="Calibri" w:eastAsia="Calibri" w:hAnsi="Calibri"/>
          <w:b/>
          <w:bCs/>
          <w:color w:val="0B2E2A"/>
          <w:sz w:val="22"/>
          <w:szCs w:val="22"/>
        </w:rPr>
        <w:t xml:space="preserve">STANDARD 2.550tr Y1 (3Y TCV 4.769tr)</w:t>
      </w:r>
      <w:r>
        <w:rPr>
          <w:rFonts w:ascii="Calibri" w:cs="Calibri" w:eastAsia="Calibri" w:hAnsi="Calibri"/>
          <w:color w:val="1A2B28"/>
          <w:sz w:val="22"/>
          <w:szCs w:val="22"/>
        </w:rPr>
        <w:t xml:space="preserve"> — cao hơn v1.0 35% và cao hơn v1.1 69%. Thực tế khó áp dụng ngay với khách hiện tại → cần lộ trình 2026–2027.</w:t>
      </w:r>
    </w:p>
    <w:p>
      <w:pPr>
        <w:spacing w:after="480" w:before="480"/>
      </w:pPr>
      <w:r>
        <w:rPr>
          <w:rFonts w:ascii="Calibri" w:cs="Calibri" w:eastAsia="Calibri" w:hAnsi="Calibri"/>
          <w:color w:val="1A2B28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rPr>
          <w:trHeight w:val="1200" w:hRule="atLeast"/>
        </w:trPr>
        <w:tc>
          <w:tcPr>
            <w:tcW w:type="dxa" w:w="9200"/>
            <w:tcBorders>
              <w:top w:val="single" w:color="6B21A8" w:sz="18"/>
              <w:left w:val="single" w:color="0B2E2A" w:sz="4"/>
              <w:bottom w:val="single" w:color="0B2E2A" w:sz="4"/>
              <w:right w:val="single" w:color="0B2E2A" w:sz="4"/>
            </w:tcBorders>
            <w:shd w:fill="0B2E2A" w:color="auto" w:val="clear"/>
          </w:tcPr>
          <w:p>
            <w:pPr>
              <w:spacing w:after="6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A7"/>
                <w:spacing w:val="80"/>
                <w:sz w:val="26"/>
                <w:szCs w:val="26"/>
              </w:rPr>
              <w:t xml:space="preserve">R E B O R N  J S C  —  INTERNAL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color w:val="EDE9FE"/>
                <w:sz w:val="18"/>
                <w:szCs w:val="18"/>
              </w:rPr>
              <w:t xml:space="preserve">Phân tích CAPEX Allocation — Pricing Strategy</w:t>
            </w:r>
          </w:p>
          <w:p>
            <w:pPr>
              <w:spacing w:after="120" w:before="40"/>
              <w:jc w:val="center"/>
            </w:pPr>
            <w:r>
              <w:rPr>
                <w:rFonts w:ascii="Calibri" w:cs="Calibri" w:eastAsia="Calibri" w:hAnsi="Calibri"/>
                <w:color w:val="EDE9FE"/>
                <w:sz w:val="16"/>
                <w:szCs w:val="16"/>
              </w:rPr>
              <w:t xml:space="preserve">Cập nhật khi thay đổi target phân khúc hoặc CAPEX thực tế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00" w:bottom="1200" w:left="10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21A8" w:sz="4" w:space="4"/>
      </w:pBdr>
      <w:jc w:val="center"/>
    </w:pPr>
    <w:r>
      <w:rPr>
        <w:rFonts w:ascii="Calibri" w:cs="Calibri" w:eastAsia="Calibri" w:hAnsi="Calibri"/>
        <w:color w:val="6B8A85"/>
        <w:sz w:val="16"/>
        <w:szCs w:val="16"/>
      </w:rPr>
      <w:t xml:space="preserve">Trang </w:t>
    </w:r>
    <w:r>
      <w:rPr>
        <w:color w:val="6B8A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8A85"/>
        <w:sz w:val="16"/>
        <w:szCs w:val="16"/>
      </w:rPr>
      <w:t xml:space="preserve"> / </w:t>
    </w:r>
    <w:r>
      <w:rPr>
        <w:color w:val="6B8A8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b/>
        <w:bCs/>
        <w:color w:val="6B21A8"/>
        <w:sz w:val="16"/>
        <w:szCs w:val="16"/>
      </w:rPr>
      <w:t xml:space="preserve">    •    TÀI LIỆU NỘI BỘ — KHÔNG GỬI KHÁCH    •    Reborn JSC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4" w:space="4"/>
      </w:pBdr>
      <w:jc w:val="center"/>
    </w:pPr>
    <w:r>
      <w:rPr>
        <w:rFonts w:ascii="Calibri" w:cs="Calibri" w:eastAsia="Calibri" w:hAnsi="Calibri"/>
        <w:b/>
        <w:bCs/>
        <w:color w:val="00C9A7"/>
        <w:spacing w:val="40"/>
        <w:sz w:val="16"/>
        <w:szCs w:val="16"/>
      </w:rPr>
      <w:t xml:space="preserve">REBORN JSC</w:t>
    </w:r>
    <w:r>
      <w:rPr>
        <w:rFonts w:ascii="Calibri" w:cs="Calibri" w:eastAsia="Calibri" w:hAnsi="Calibri"/>
        <w:color w:val="6B8A85"/>
        <w:sz w:val="16"/>
        <w:szCs w:val="16"/>
      </w:rPr>
      <w:t xml:space="preserve">    •    </w:t>
    </w:r>
    <w:r>
      <w:rPr>
        <w:rFonts w:ascii="Calibri" w:cs="Calibri" w:eastAsia="Calibri" w:hAnsi="Calibri"/>
        <w:color w:val="6B8A85"/>
        <w:sz w:val="16"/>
        <w:szCs w:val="16"/>
      </w:rPr>
      <w:t xml:space="preserve">CAPEX Allocation Analysis</w:t>
    </w:r>
    <w:r>
      <w:rPr>
        <w:rFonts w:ascii="Calibri" w:cs="Calibri" w:eastAsia="Calibri" w:hAnsi="Calibri"/>
        <w:color w:val="6B8A85"/>
        <w:sz w:val="16"/>
        <w:szCs w:val="16"/>
      </w:rPr>
      <w:t xml:space="preserve">    •    </w:t>
    </w:r>
    <w:r>
      <w:rPr>
        <w:rFonts w:ascii="Calibri" w:cs="Calibri" w:eastAsia="Calibri" w:hAnsi="Calibri"/>
        <w:b/>
        <w:bCs/>
        <w:color w:val="6B21A8"/>
        <w:sz w:val="16"/>
        <w:szCs w:val="16"/>
      </w:rPr>
      <w:t xml:space="preserve">🔒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CAPEX Allocation — Pricing Strategy (Internal)</dc:title>
  <dc:creator>Reborn JSC</dc:creator>
  <dc:description>Phân bổ khấu hao CAPEX &amp; pricing điều chỉnh — nội bộ</dc:description>
  <cp:lastModifiedBy>Un-named</cp:lastModifiedBy>
  <cp:revision>1</cp:revision>
  <dcterms:created xsi:type="dcterms:W3CDTF">2026-04-23T09:18:59.458Z</dcterms:created>
  <dcterms:modified xsi:type="dcterms:W3CDTF">2026-04-23T09:18:59.459Z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