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công.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chế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ô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liệu, nếu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xác thì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công. Sau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ửa,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Thêm xóa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của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quản trị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bằng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nút thêm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sửa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các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khi chọn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ửa/x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liệu.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ửa,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quản trị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của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nút thêm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sửa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khi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ửa/x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ậy.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dinh dư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sử dụng nhiều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thành công,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sử dụng.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ô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liệu, nếu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tại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thành công.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 và duy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các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sẵn theo nhu cầu của bản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của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hệ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một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xem gợi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giá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thành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ngư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xem.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cung cấp.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ếm, chọn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 tiết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của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ậy.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chỉ số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BMI, calo cần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Cân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ặng, chiều cao, tuổi, giới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toán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hiện tại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hấp thu trong một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và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calo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ấp thụ trong một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nam Calo = ((10 x trọng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kg) + (6.25 x chiều cao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cm) - (5 x tuổi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theo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ăm) + 5)  x PAL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nữ  Calo = ((10 x trọng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kg) + (6.25 x chiều cao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cm) - (5 x tuổi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theo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ăm) -161 )  x PAL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*chú thích: PAL là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ít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ộng: 120%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ẹ: 130%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trung bình: 140%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ặng: 150%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BMI =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ặng / (chiều cao)^2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Nêu ra ý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ĩa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BMI sau khi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xác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toán calo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toán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 calo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liệu hệ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Calo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biết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mong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bao nhiêu calo.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ẵn, hệ thống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toán ra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calo.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trong hệ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theo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theo ngày,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ra lịch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ống trong thời gian tối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tuần. Hệ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xuất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theo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một bữa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thông tin cá nhân.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liên quan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trang chứa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mà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cung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ấp.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lại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bản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theo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õi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khỏe.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tin, khi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chỉnh sửa sẽ chọn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cập nhật lại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phải bảo mật.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xuất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các góp ý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viên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xem các góp ý mà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góp 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trang chứa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góp 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 nghe các 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óng góp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viên xem các góp 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 và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xóa các góp ý.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admin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Góp ý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 góp ý cho trang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web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nên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Title,Content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góp 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góp 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chu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cho admin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óng góp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 các góp ý vào các ô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các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xem các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xem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ích và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khuyên,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các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ích và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khuyên,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các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dùng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xem các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