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Eight parameters are perturbed one at a time about a nominal working point: the two stretch factors s_wale and s_course, the membrane stiffness E1, the orthotropy ratio E2/E1, Poisson's ratio, the inflation pressure p, the boundary radius R, and the rest length of the crease cable. Two structures are studied. The circular dome of Section 6.2 is the method check: a flat rest mesh, no cable, no design target of its own. The creased shell of Section 6.4.1 is the case study, and it is taken as designed — the optimised stretch factors of strategy D, s_wale = 1.2992 and s_course = 0.9603, with the crease cable that optimisation was run with.</w:t>
      </w:r>
    </w:p>
    <w:p>
      <w:pPr>
        <w:jc w:val="both"/>
      </w:pPr>
      <w:r>
        <w:t>The reference matters as much as the perturbation. Deviations are measured from the equilibrium the design itself predicts, not from the design target. The question a tolerance budget has to answer is how far the built structure departs from what the optimisation said it would be; how far that prediction sits from the target is a separate question, settled in Section 6.4 and not improvable by tightening any tolerance. On the creased shell the designed equilibrium stands 10.3 mm from the target in RMS over interior vertices, and every deviation reported below is measured from that equilibrium.</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Every one of these is exercised. Poisson's ratio and the cable rest length were absent from the first pass of this study, the one on a cable-free model, and both are now included: the case study has a cable at the crease, so its rest length is a real tolerance with a real mechanism rather than a parameter waiting for a later block.</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s_course moves the surface 3.9 mm and on the case study 2.8 mm, against a designed equilibrium that stands 10.3 mm from its target. Two percent roughly doubles both, the responses being linear across the range. The weak parameters are weak by an order of magnitude rather than marginally: one percent on the orthotropy ratio or on Poisson's ratio moves the case study by about 0.09 mm, below the precision any of this is measured to, and one percent on E1 by 0.26 mm.</w:t>
      </w:r>
    </w:p>
    <w:p>
      <w:pPr>
        <w:jc w:val="both"/>
      </w:pPr>
      <w:r>
        <w:t>The boundary radius and the cable rest length are set as lengths, not as fractions, so they are plotted against the top axis in millimetres. At the ±2 mm of 5.5.2 the boundary contributes about 1.9 mm of surface deviation on both geometries. Ten millimetres of radius error would give 7.5 mm and ten of cable error 2.9 mm — the cable is the gentler of the two per millimetre, and only overtakes the stretch factors when expressed as a percentage because it is 1.32 m long. Both are quantities a workshop can measure directly, which makes them the two tolerances in this study that could be replaced by a measurement tomorrow.</w:t>
      </w:r>
    </w:p>
    <w:p>
      <w:pPr>
        <w:jc w:val="both"/>
      </w:pPr>
      <w:r>
        <w:t>Which parameter matters most depends on the unit the question is asked in, and that is not a defect of the analysis but the substance of it. Per percent of nominal the boundary radius is the steepest parameter of the eight on both geometries; at the tolerances actually assumed, as in the tables below, it is the smallest contributor of all, because it is anchored to 0.33% where the stretch factor is assumed good to 4.5%. Both readings are true. R is the most dangerous parameter and the least troublesome one.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 as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-18.14</w:t>
            </w:r>
          </w:p>
        </w:tc>
        <w:tc>
          <w:tcPr>
            <w:tcW w:type="dxa" w:w="1440"/>
          </w:tcPr>
          <w:p>
            <w:r>
              <w:rPr>
                <w:sz w:val="16"/>
              </w:rPr>
              <w:t>14.47</w:t>
            </w:r>
          </w:p>
        </w:tc>
        <w:tc>
          <w:tcPr>
            <w:tcW w:type="dxa" w:w="1440"/>
          </w:tcPr>
          <w:p>
            <w:r>
              <w:rPr>
                <w:sz w:val="16"/>
              </w:rPr>
              <w:t>-0.92</w:t>
            </w:r>
          </w:p>
        </w:tc>
        <w:tc>
          <w:tcPr>
            <w:tcW w:type="dxa" w:w="1440"/>
          </w:tcPr>
          <w:p>
            <w:r>
              <w:rPr>
                <w:sz w:val="16"/>
              </w:rPr>
              <w:t>3.8%</w:t>
            </w:r>
          </w:p>
        </w:tc>
      </w:tr>
      <w:tr>
        <w:tc>
          <w:tcPr>
            <w:tcW w:type="dxa" w:w="1440"/>
          </w:tcPr>
          <w:p>
            <w:r>
              <w:rPr>
                <w:sz w:val="16"/>
              </w:rPr>
              <w:t>s_wale</w:t>
            </w:r>
          </w:p>
        </w:tc>
        <w:tc>
          <w:tcPr>
            <w:tcW w:type="dxa" w:w="1440"/>
          </w:tcPr>
          <w:p>
            <w:r>
              <w:rPr>
                <w:sz w:val="16"/>
              </w:rPr>
              <w:t>0.05</w:t>
            </w:r>
          </w:p>
        </w:tc>
        <w:tc>
          <w:tcPr>
            <w:tcW w:type="dxa" w:w="1440"/>
          </w:tcPr>
          <w:p>
            <w:r>
              <w:rPr>
                <w:sz w:val="16"/>
              </w:rPr>
              <w:t>-5.95</w:t>
            </w:r>
          </w:p>
        </w:tc>
        <w:tc>
          <w:tcPr>
            <w:tcW w:type="dxa" w:w="1440"/>
          </w:tcPr>
          <w:p>
            <w:r>
              <w:rPr>
                <w:sz w:val="16"/>
              </w:rPr>
              <w:t>5.85</w:t>
            </w:r>
          </w:p>
        </w:tc>
        <w:tc>
          <w:tcPr>
            <w:tcW w:type="dxa" w:w="1440"/>
          </w:tcPr>
          <w:p>
            <w:r>
              <w:rPr>
                <w:sz w:val="16"/>
              </w:rPr>
              <w:t>-0.41</w:t>
            </w:r>
          </w:p>
        </w:tc>
        <w:tc>
          <w:tcPr>
            <w:tcW w:type="dxa" w:w="1440"/>
          </w:tcPr>
          <w:p>
            <w:r>
              <w:rPr>
                <w:sz w:val="16"/>
              </w:rPr>
              <w:t>2.1%</w:t>
            </w:r>
          </w:p>
        </w:tc>
      </w:tr>
      <w:tr>
        <w:tc>
          <w:tcPr>
            <w:tcW w:type="dxa" w:w="1440"/>
          </w:tcPr>
          <w:p>
            <w:r>
              <w:rPr>
                <w:sz w:val="16"/>
              </w:rPr>
              <w:t>E1</w:t>
            </w:r>
          </w:p>
        </w:tc>
        <w:tc>
          <w:tcPr>
            <w:tcW w:type="dxa" w:w="1440"/>
          </w:tcPr>
          <w:p>
            <w:r>
              <w:rPr>
                <w:sz w:val="16"/>
              </w:rPr>
              <w:t>500 N/m</w:t>
            </w:r>
          </w:p>
        </w:tc>
        <w:tc>
          <w:tcPr>
            <w:tcW w:type="dxa" w:w="1440"/>
          </w:tcPr>
          <w:p>
            <w:r>
              <w:rPr>
                <w:sz w:val="16"/>
              </w:rPr>
              <w:t>-1.66</w:t>
            </w:r>
          </w:p>
        </w:tc>
        <w:tc>
          <w:tcPr>
            <w:tcW w:type="dxa" w:w="1440"/>
          </w:tcPr>
          <w:p>
            <w:r>
              <w:rPr>
                <w:sz w:val="16"/>
              </w:rPr>
              <w:t>2.57</w:t>
            </w:r>
          </w:p>
        </w:tc>
        <w:tc>
          <w:tcPr>
            <w:tcW w:type="dxa" w:w="1440"/>
          </w:tcPr>
          <w:p>
            <w:r>
              <w:rPr>
                <w:sz w:val="16"/>
              </w:rPr>
              <w:t>-0.04</w:t>
            </w:r>
          </w:p>
        </w:tc>
        <w:tc>
          <w:tcPr>
            <w:tcW w:type="dxa" w:w="1440"/>
          </w:tcPr>
          <w:p>
            <w:r>
              <w:rPr>
                <w:sz w:val="16"/>
              </w:rPr>
              <w:t>19.4%</w:t>
            </w:r>
          </w:p>
        </w:tc>
      </w:tr>
      <w:tr>
        <w:tc>
          <w:tcPr>
            <w:tcW w:type="dxa" w:w="1440"/>
          </w:tcPr>
          <w:p>
            <w:r>
              <w:rPr>
                <w:sz w:val="16"/>
              </w:rPr>
              <w:t>p</w:t>
            </w:r>
          </w:p>
        </w:tc>
        <w:tc>
          <w:tcPr>
            <w:tcW w:type="dxa" w:w="1440"/>
          </w:tcPr>
          <w:p>
            <w:r>
              <w:rPr>
                <w:sz w:val="16"/>
              </w:rPr>
              <w:t>50 Pa</w:t>
            </w:r>
          </w:p>
        </w:tc>
        <w:tc>
          <w:tcPr>
            <w:tcW w:type="dxa" w:w="1440"/>
          </w:tcPr>
          <w:p>
            <w:r>
              <w:rPr>
                <w:sz w:val="16"/>
              </w:rPr>
              <w:t>+0.86</w:t>
            </w:r>
          </w:p>
        </w:tc>
        <w:tc>
          <w:tcPr>
            <w:tcW w:type="dxa" w:w="1440"/>
          </w:tcPr>
          <w:p>
            <w:r>
              <w:rPr>
                <w:sz w:val="16"/>
              </w:rPr>
              <w:t>1.30</w:t>
            </w:r>
          </w:p>
        </w:tc>
        <w:tc>
          <w:tcPr>
            <w:tcW w:type="dxa" w:w="1440"/>
          </w:tcPr>
          <w:p>
            <w:r>
              <w:rPr>
                <w:sz w:val="16"/>
              </w:rPr>
              <w:t>+0.05</w:t>
            </w:r>
          </w:p>
        </w:tc>
        <w:tc>
          <w:tcPr>
            <w:tcW w:type="dxa" w:w="1440"/>
          </w:tcPr>
          <w:p>
            <w:r>
              <w:rPr>
                <w:sz w:val="16"/>
              </w:rPr>
              <w:t>0.4%</w:t>
            </w:r>
          </w:p>
        </w:tc>
      </w:tr>
      <w:tr>
        <w:tc>
          <w:tcPr>
            <w:tcW w:type="dxa" w:w="1440"/>
          </w:tcPr>
          <w:p>
            <w:r>
              <w:rPr>
                <w:sz w:val="16"/>
              </w:rPr>
              <w:t>E2/E1</w:t>
            </w:r>
          </w:p>
        </w:tc>
        <w:tc>
          <w:tcPr>
            <w:tcW w:type="dxa" w:w="1440"/>
          </w:tcPr>
          <w:p>
            <w:r>
              <w:rPr>
                <w:sz w:val="16"/>
              </w:rPr>
              <w:t>0.250</w:t>
            </w:r>
          </w:p>
        </w:tc>
        <w:tc>
          <w:tcPr>
            <w:tcW w:type="dxa" w:w="1440"/>
          </w:tcPr>
          <w:p>
            <w:r>
              <w:rPr>
                <w:sz w:val="16"/>
              </w:rPr>
              <w:t>-0.79</w:t>
            </w:r>
          </w:p>
        </w:tc>
        <w:tc>
          <w:tcPr>
            <w:tcW w:type="dxa" w:w="1440"/>
          </w:tcPr>
          <w:p>
            <w:r>
              <w:rPr>
                <w:sz w:val="16"/>
              </w:rPr>
              <w:t>0.91</w:t>
            </w:r>
          </w:p>
        </w:tc>
        <w:tc>
          <w:tcPr>
            <w:tcW w:type="dxa" w:w="1440"/>
          </w:tcPr>
          <w:p>
            <w:r>
              <w:rPr>
                <w:sz w:val="16"/>
              </w:rPr>
              <w:t>-0.02</w:t>
            </w:r>
          </w:p>
        </w:tc>
        <w:tc>
          <w:tcPr>
            <w:tcW w:type="dxa" w:w="1440"/>
          </w:tcPr>
          <w:p>
            <w:r>
              <w:rPr>
                <w:sz w:val="16"/>
              </w:rPr>
              <w:t>20.6%</w:t>
            </w:r>
          </w:p>
        </w:tc>
      </w:tr>
      <w:tr>
        <w:tc>
          <w:tcPr>
            <w:tcW w:type="dxa" w:w="1440"/>
          </w:tcPr>
          <w:p>
            <w:r>
              <w:rPr>
                <w:sz w:val="16"/>
              </w:rPr>
              <w:t>R</w:t>
            </w:r>
          </w:p>
        </w:tc>
        <w:tc>
          <w:tcPr>
            <w:tcW w:type="dxa" w:w="1440"/>
          </w:tcPr>
          <w:p>
            <w:r>
              <w:rPr>
                <w:sz w:val="16"/>
              </w:rPr>
              <w:t>2 mm</w:t>
            </w:r>
          </w:p>
        </w:tc>
        <w:tc>
          <w:tcPr>
            <w:tcW w:type="dxa" w:w="1440"/>
          </w:tcPr>
          <w:p>
            <w:r>
              <w:rPr>
                <w:sz w:val="16"/>
              </w:rPr>
              <w:t>+0.10</w:t>
            </w:r>
          </w:p>
        </w:tc>
        <w:tc>
          <w:tcPr>
            <w:tcW w:type="dxa" w:w="1440"/>
          </w:tcPr>
          <w:p>
            <w:r>
              <w:rPr>
                <w:sz w:val="16"/>
              </w:rPr>
              <w:t>1.49</w:t>
            </w:r>
          </w:p>
        </w:tc>
        <w:tc>
          <w:tcPr>
            <w:tcW w:type="dxa" w:w="1440"/>
          </w:tcPr>
          <w:p>
            <w:r>
              <w:rPr>
                <w:sz w:val="16"/>
              </w:rPr>
              <w:t>+0.07</w:t>
            </w:r>
          </w:p>
        </w:tc>
        <w:tc>
          <w:tcPr>
            <w:tcW w:type="dxa" w:w="1440"/>
          </w:tcPr>
          <w:p>
            <w:r>
              <w:rPr>
                <w:sz w:val="16"/>
              </w:rPr>
              <w:t>2.0%</w:t>
            </w:r>
          </w:p>
        </w:tc>
      </w:tr>
    </w:tbl>
    <w:p>
      <w:r>
        <w:rPr>
          <w:i/>
          <w:sz w:val="18"/>
        </w:rPr>
        <w:t>Table 6.Z: Block A on the creased shell as designed - the optimised stretch factors of strategy D with the crease cable - about that equilibrium rather than about the design target. Same columns. E1 at 19.4% and E2/E1 at 20.6% exceed the asymmetry threshold, so those two rows should not be rescaled by hand; the swept curves of Figure 6.31 cover them directly, and both are small in absolute terms. The cable rest length and Poisson's ratio are swept in Figure 6.31 but are not in this table, which reports the six factors of the original block.</w:t>
      </w:r>
    </w:p>
    <w:p>
      <w:pPr>
        <w:jc w:val="both"/>
      </w:pPr>
      <w:r>
        <w:t>The predicted spread is 19.2 mm RSS in crown height, 5.1% of the 379 mm this shell stands, and 16.0 mm RMS over the surface. Against the dome's 19.6% that is a markedly more robust structure, and the cable is most of the reason. Run without it, on a fitted uniform pre-strain, the same shell gives 27.0 mm and 7.0%. A stiffener introduced to resolve the crease also takes the shape out of the fabric's hands, and what the fabric does not control it cannot get wrong.</w:t>
      </w:r>
    </w:p>
    <w:p>
      <w:pPr>
        <w:jc w:val="both"/>
      </w:pPr>
      <w:r>
        <w:t>The same is visible factor by factor. With the cable in place a one percent error in E1 moves the surface 0.26 mm where the cable-free model gave 0.45 mm, and the orthotropy ratio drops from 0.23 to 0.09 mm. The material scatter that Chapter 4 is being asked to pin down matters measurably less to the structure as it is actually designed than to the model that stood in for it.</w:t>
      </w:r>
    </w:p>
    <w:p>
      <w:pPr>
        <w:pStyle w:val="Heading3"/>
      </w:pPr>
      <w:r>
        <w:t>What the cable costs in return</w:t>
      </w:r>
    </w:p>
    <w:p>
      <w:pPr>
        <w:jc w:val="both"/>
      </w:pPr>
      <w:r>
        <w:t>The cable removes sensitivity to the fabric and adds one of its own. Per percent of nominal, its rest length is the second-steepest parameter of the eight, at 3.89 mm against the boundary radius's 4.26 mm, and it is well ahead of s_course at 2.79 mm. The mechanism is not mysterious: the cable is stiff, so where it is short the surface follows it. A one percent error is 13 mm on a 1.32 m cable, which is more than a turnbuckle's resolution and well within what channel seating and anchorage take-up can absorb, so this is a tolerance to specify rather than to assume.</w:t>
      </w:r>
    </w:p>
    <w:p>
      <w:pPr>
        <w:jc w:val="both"/>
      </w:pPr>
      <w:r>
        <w:t>That completes an argument the earlier, cable-free study could only half make. It found that no tolerance moved the shape toward the target and concluded that fabrication was not the binding error. That remains true, but the reason is sharper: the crease was missing because the model had no cable, and once the cable is there the standing mismatch falls from 24.6 mm to 10.3 mm. The residual is what the two-parameter uniform pre-strain cannot express, and it is the parameterisation of Section 6.4, not the workshop, that would have to improve to remove it.</w:t>
      </w:r>
    </w:p>
    <w:p>
      <w:pPr>
        <w:jc w:val="both"/>
      </w:pPr>
      <w:r>
        <w:t>Figures 6.34 and 6.35 are the cable-free control, and are worth keeping for what they diagnose. Without the cable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 the cosine between the two fields is +0.006. No tolerance moves that shape toward its target, because the feature it is missing is not something a tolerance controls.</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5% on the case study as designed, and the surface by 20 and 16 mm RMS respectively. Set against the 10.3 mm the designed equilibrium already stands from its target, the tolerances are comparable rather than negligible — which is a different conclusion from the one the cable-free study reached, and a more useful one, because it says the two now deserve attention together rather than the model alone.</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E2/E1 reaches 20.6%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2284026"/>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2284026"/>
                    </a:xfrm>
                    <a:prstGeom prst="rect"/>
                  </pic:spPr>
                </pic:pic>
              </a:graphicData>
            </a:graphic>
          </wp:inline>
        </w:drawing>
      </w:r>
    </w:p>
    <w:p>
      <w:r>
        <w:rPr>
          <w:i/>
          <w:sz w:val="18"/>
        </w:rPr>
        <w:t>Figure 6.31: Deviation from the designed equilibrium against how wrong each parameter is, all eight on one pair of axes per structure. The solid curves are the material and pre-strain parameters and read on the bottom axis, in percent of nominal. The dashed curves are the two that are set as lengths — the boundary radius, and on the creased shell the crease cable's rest length — and read on the top axis, in millimetres, because a ring is anchored to a distance and a cable is cut and taken up by one, and a percentage of nominal is a detour through a number nobody sets. The dotted vertical is the ±2 mm of 5.5.2. Curves are the worse of the two signs at each magnitude and are linear throughout, so a response may be read at whatever tolerance the measurements eventually give. 180 solves across the two geometries.</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cable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as designed, the same four panels. The responses are smaller than the dome's throughout, the cable carrying what the fabric would otherwise have to. E1 and E2/E1 exceed the 15% asymmetry threshold in panel (c), but both are under 3 mm, so the non-linearity is on a quantity too small to matter.</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