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Six factors are perturbed one at a time by plus and minus one tolerance about a nominal working point: the two stretch factors s_wale and s_course, the membrane stiffness E1, the orthotropy ratio E2/E1, the inflation pressure p, and the boundary radius R. Thirteen solves per geometry — a baseline and twelve perturbations — on two geometries. The circular dome of Section 6.2 serves as the method check: it has a flat rest mesh and no design target of its own, so its deviations are referenced to its own baseline equilibrium. The creased shell of Section 6.4.1 is the case that carries a target, and is where the question of what the tolerances mean can actually be answered.</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Two of these are not exercised in this block and are listed so that the budget is not mistaken for a complete one. Poisson's ratio enters from Block B, and the cable rest length cannot enter at all here because the model carries no cable — which, as Figure 6.35 shows, is also why the creased shell has a standing mismatch in the first place. The cable is therefore both a missing tolerance and a missing element, and the second is the more consequential of the two.</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Response against tolerance, rather than at one tolerance</w:t>
      </w:r>
    </w:p>
    <w:p>
      <w:pPr>
        <w:jc w:val="both"/>
      </w:pPr>
      <w:r>
        <w:t>Reporting a response at one assumed tolerance answers a question nobody is in a position to ask yet, since five of the six magnitudes are estimates. Figure 6.31 therefore sweeps each factor over a range of multiples of its assumed tolerance, from a quarter to twice, and plots the deviation that results. A reader who later learns that the stitch size gives a stretch-factor tolerance of 0.03 rather than 0.05 reads up from 0.6 on the horizontal axis instead of rescaling a table entry by hand.</w:t>
      </w:r>
    </w:p>
    <w:p>
      <w:pPr>
        <w:jc w:val="both"/>
      </w:pPr>
      <w:r>
        <w:t>The curves are straight to the eye over the whole range, which is worth more than it appears. The claim that an estimate may be replaced without re-running rested until now on the asymmetry between the plus and minus responses at a single magnitude — a local check. These sweeps show the response is linear from a quarter to twice the assumed tolerance for every factor on both geometries, so rescaling is licensed across the whole plausible range and not merely near the assumed point. The two rows the asymmetry check flagged, E1 and E2/E1 on the creased shell, are covered directly by the swept curve and need no rescaling at all.</w:t>
      </w:r>
    </w:p>
    <w:p>
      <w:pPr>
        <w:pStyle w:val="Heading3"/>
      </w:pPr>
      <w:r>
        <w:t>The circular dome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-27.38</w:t>
            </w:r>
          </w:p>
        </w:tc>
        <w:tc>
          <w:tcPr>
            <w:tcW w:type="dxa" w:w="1440"/>
          </w:tcPr>
          <w:p>
            <w:r>
              <w:rPr>
                <w:sz w:val="16"/>
              </w:rPr>
              <w:t>17.23</w:t>
            </w:r>
          </w:p>
        </w:tc>
        <w:tc>
          <w:tcPr>
            <w:tcW w:type="dxa" w:w="1440"/>
          </w:tcPr>
          <w:p>
            <w:r>
              <w:rPr>
                <w:sz w:val="16"/>
              </w:rPr>
              <w:t>-3.67</w:t>
            </w:r>
          </w:p>
        </w:tc>
        <w:tc>
          <w:tcPr>
            <w:tcW w:type="dxa" w:w="1440"/>
          </w:tcPr>
          <w:p>
            <w:r>
              <w:rPr>
                <w:sz w:val="16"/>
              </w:rPr>
              <w:t>6.8%</w:t>
            </w:r>
          </w:p>
        </w:tc>
      </w:tr>
      <w:tr>
        <w:tc>
          <w:tcPr>
            <w:tcW w:type="dxa" w:w="1440"/>
          </w:tcPr>
          <w:p>
            <w:r>
              <w:rPr>
                <w:sz w:val="16"/>
              </w:rPr>
              <w:t>E1</w:t>
            </w:r>
          </w:p>
        </w:tc>
        <w:tc>
          <w:tcPr>
            <w:tcW w:type="dxa" w:w="1440"/>
          </w:tcPr>
          <w:p>
            <w:r>
              <w:rPr>
                <w:sz w:val="16"/>
              </w:rPr>
              <w:t>500 N/m</w:t>
            </w:r>
          </w:p>
        </w:tc>
        <w:tc>
          <w:tcPr>
            <w:tcW w:type="dxa" w:w="1440"/>
          </w:tcPr>
          <w:p>
            <w:r>
              <w:rPr>
                <w:sz w:val="16"/>
              </w:rPr>
              <w:t>-10.33</w:t>
            </w:r>
          </w:p>
        </w:tc>
        <w:tc>
          <w:tcPr>
            <w:tcW w:type="dxa" w:w="1440"/>
          </w:tcPr>
          <w:p>
            <w:r>
              <w:rPr>
                <w:sz w:val="16"/>
              </w:rPr>
              <w:t>6.45</w:t>
            </w:r>
          </w:p>
        </w:tc>
        <w:tc>
          <w:tcPr>
            <w:tcW w:type="dxa" w:w="1440"/>
          </w:tcPr>
          <w:p>
            <w:r>
              <w:rPr>
                <w:sz w:val="16"/>
              </w:rPr>
              <w:t>-0.63</w:t>
            </w:r>
          </w:p>
        </w:tc>
        <w:tc>
          <w:tcPr>
            <w:tcW w:type="dxa" w:w="1440"/>
          </w:tcPr>
          <w:p>
            <w:r>
              <w:rPr>
                <w:sz w:val="16"/>
              </w:rPr>
              <w:t>13.4%</w:t>
            </w:r>
          </w:p>
        </w:tc>
      </w:tr>
      <w:tr>
        <w:tc>
          <w:tcPr>
            <w:tcW w:type="dxa" w:w="1440"/>
          </w:tcPr>
          <w:p>
            <w:r>
              <w:rPr>
                <w:sz w:val="16"/>
              </w:rPr>
              <w:t>s_wale</w:t>
            </w:r>
          </w:p>
        </w:tc>
        <w:tc>
          <w:tcPr>
            <w:tcW w:type="dxa" w:w="1440"/>
          </w:tcPr>
          <w:p>
            <w:r>
              <w:rPr>
                <w:sz w:val="16"/>
              </w:rPr>
              <w:t>0.05</w:t>
            </w:r>
          </w:p>
        </w:tc>
        <w:tc>
          <w:tcPr>
            <w:tcW w:type="dxa" w:w="1440"/>
          </w:tcPr>
          <w:p>
            <w:r>
              <w:rPr>
                <w:sz w:val="16"/>
              </w:rPr>
              <w:t>-10.12</w:t>
            </w:r>
          </w:p>
        </w:tc>
        <w:tc>
          <w:tcPr>
            <w:tcW w:type="dxa" w:w="1440"/>
          </w:tcPr>
          <w:p>
            <w:r>
              <w:rPr>
                <w:sz w:val="16"/>
              </w:rPr>
              <w:t>6.67</w:t>
            </w:r>
          </w:p>
        </w:tc>
        <w:tc>
          <w:tcPr>
            <w:tcW w:type="dxa" w:w="1440"/>
          </w:tcPr>
          <w:p>
            <w:r>
              <w:rPr>
                <w:sz w:val="16"/>
              </w:rPr>
              <w:t>-1.36</w:t>
            </w:r>
          </w:p>
        </w:tc>
        <w:tc>
          <w:tcPr>
            <w:tcW w:type="dxa" w:w="1440"/>
          </w:tcPr>
          <w:p>
            <w:r>
              <w:rPr>
                <w:sz w:val="16"/>
              </w:rPr>
              <w:t>10.2%</w:t>
            </w:r>
          </w:p>
        </w:tc>
      </w:tr>
      <w:tr>
        <w:tc>
          <w:tcPr>
            <w:tcW w:type="dxa" w:w="1440"/>
          </w:tcPr>
          <w:p>
            <w:r>
              <w:rPr>
                <w:sz w:val="16"/>
              </w:rPr>
              <w:t>E2/E1</w:t>
            </w:r>
          </w:p>
        </w:tc>
        <w:tc>
          <w:tcPr>
            <w:tcW w:type="dxa" w:w="1440"/>
          </w:tcPr>
          <w:p>
            <w:r>
              <w:rPr>
                <w:sz w:val="16"/>
              </w:rPr>
              <w:t>0.250</w:t>
            </w:r>
          </w:p>
        </w:tc>
        <w:tc>
          <w:tcPr>
            <w:tcW w:type="dxa" w:w="1440"/>
          </w:tcPr>
          <w:p>
            <w:r>
              <w:rPr>
                <w:sz w:val="16"/>
              </w:rPr>
              <w:t>-7.05</w:t>
            </w:r>
          </w:p>
        </w:tc>
        <w:tc>
          <w:tcPr>
            <w:tcW w:type="dxa" w:w="1440"/>
          </w:tcPr>
          <w:p>
            <w:r>
              <w:rPr>
                <w:sz w:val="16"/>
              </w:rPr>
              <w:t>4.36</w:t>
            </w:r>
          </w:p>
        </w:tc>
        <w:tc>
          <w:tcPr>
            <w:tcW w:type="dxa" w:w="1440"/>
          </w:tcPr>
          <w:p>
            <w:r>
              <w:rPr>
                <w:sz w:val="16"/>
              </w:rPr>
              <w:t>-0.43</w:t>
            </w:r>
          </w:p>
        </w:tc>
        <w:tc>
          <w:tcPr>
            <w:tcW w:type="dxa" w:w="1440"/>
          </w:tcPr>
          <w:p>
            <w:r>
              <w:rPr>
                <w:sz w:val="16"/>
              </w:rPr>
              <w:t>9.6%</w:t>
            </w:r>
          </w:p>
        </w:tc>
      </w:tr>
      <w:tr>
        <w:tc>
          <w:tcPr>
            <w:tcW w:type="dxa" w:w="1440"/>
          </w:tcPr>
          <w:p>
            <w:r>
              <w:rPr>
                <w:sz w:val="16"/>
              </w:rPr>
              <w:t>p</w:t>
            </w:r>
          </w:p>
        </w:tc>
        <w:tc>
          <w:tcPr>
            <w:tcW w:type="dxa" w:w="1440"/>
          </w:tcPr>
          <w:p>
            <w:r>
              <w:rPr>
                <w:sz w:val="16"/>
              </w:rPr>
              <w:t>50 Pa</w:t>
            </w:r>
          </w:p>
        </w:tc>
        <w:tc>
          <w:tcPr>
            <w:tcW w:type="dxa" w:w="1440"/>
          </w:tcPr>
          <w:p>
            <w:r>
              <w:rPr>
                <w:sz w:val="16"/>
              </w:rPr>
              <w:t>+5.14</w:t>
            </w:r>
          </w:p>
        </w:tc>
        <w:tc>
          <w:tcPr>
            <w:tcW w:type="dxa" w:w="1440"/>
          </w:tcPr>
          <w:p>
            <w:r>
              <w:rPr>
                <w:sz w:val="16"/>
              </w:rPr>
              <w:t>3.21</w:t>
            </w:r>
          </w:p>
        </w:tc>
        <w:tc>
          <w:tcPr>
            <w:tcW w:type="dxa" w:w="1440"/>
          </w:tcPr>
          <w:p>
            <w:r>
              <w:rPr>
                <w:sz w:val="16"/>
              </w:rPr>
              <w:t>+0.63</w:t>
            </w:r>
          </w:p>
        </w:tc>
        <w:tc>
          <w:tcPr>
            <w:tcW w:type="dxa" w:w="1440"/>
          </w:tcPr>
          <w:p>
            <w:r>
              <w:rPr>
                <w:sz w:val="16"/>
              </w:rPr>
              <w:t>3.3%</w:t>
            </w:r>
          </w:p>
        </w:tc>
      </w:tr>
      <w:tr>
        <w:tc>
          <w:tcPr>
            <w:tcW w:type="dxa" w:w="1440"/>
          </w:tcPr>
          <w:p>
            <w:r>
              <w:rPr>
                <w:sz w:val="16"/>
              </w:rPr>
              <w:t>R</w:t>
            </w:r>
          </w:p>
        </w:tc>
        <w:tc>
          <w:tcPr>
            <w:tcW w:type="dxa" w:w="1440"/>
          </w:tcPr>
          <w:p>
            <w:r>
              <w:rPr>
                <w:sz w:val="16"/>
              </w:rPr>
              <w:t>2 mm</w:t>
            </w:r>
          </w:p>
        </w:tc>
        <w:tc>
          <w:tcPr>
            <w:tcW w:type="dxa" w:w="1440"/>
          </w:tcPr>
          <w:p>
            <w:r>
              <w:rPr>
                <w:sz w:val="16"/>
              </w:rPr>
              <w:t>+0.89</w:t>
            </w:r>
          </w:p>
        </w:tc>
        <w:tc>
          <w:tcPr>
            <w:tcW w:type="dxa" w:w="1440"/>
          </w:tcPr>
          <w:p>
            <w:r>
              <w:rPr>
                <w:sz w:val="16"/>
              </w:rPr>
              <w:t>1.53</w:t>
            </w:r>
          </w:p>
        </w:tc>
        <w:tc>
          <w:tcPr>
            <w:tcW w:type="dxa" w:w="1440"/>
          </w:tcPr>
          <w:p>
            <w:r>
              <w:rPr>
                <w:sz w:val="16"/>
              </w:rPr>
              <w:t>+1.63</w:t>
            </w:r>
          </w:p>
        </w:tc>
        <w:tc>
          <w:tcPr>
            <w:tcW w:type="dxa" w:w="1440"/>
          </w:tcPr>
          <w:p>
            <w:r>
              <w:rPr>
                <w:sz w:val="16"/>
              </w:rPr>
              <w:t>0.2%</w:t>
            </w:r>
          </w:p>
        </w:tc>
      </w:tr>
    </w:tbl>
    <w:p>
      <w:r>
        <w:rPr>
          <w:i/>
          <w:sz w:val="18"/>
        </w:rPr>
        <w:t>Table 6.Y: Block A on the circular dome, sorted by effect. Crown height is the half-range of the central difference at one tolerance either side of the nominal, and L_pos the RMS surface displacement from the baseline over interior vertices. Elasticity is the relative change in crown height per relative change in the factor, which is what makes six parameters in six different units comparable. Asymmetry is the difference between the two signs as a fraction of the first difference; under 15% the response may be rescaled to a different tolerance rather than re-run. Figure 6.31 gives the same responses as a function of tolerance magnitude.</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 and yet has the smallest effect of the six,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-21.15</w:t>
            </w:r>
          </w:p>
        </w:tc>
        <w:tc>
          <w:tcPr>
            <w:tcW w:type="dxa" w:w="1440"/>
          </w:tcPr>
          <w:p>
            <w:r>
              <w:rPr>
                <w:sz w:val="16"/>
              </w:rPr>
              <w:t>16.26</w:t>
            </w:r>
          </w:p>
        </w:tc>
        <w:tc>
          <w:tcPr>
            <w:tcW w:type="dxa" w:w="1440"/>
          </w:tcPr>
          <w:p>
            <w:r>
              <w:rPr>
                <w:sz w:val="16"/>
              </w:rPr>
              <w:t>-1.22</w:t>
            </w:r>
          </w:p>
        </w:tc>
        <w:tc>
          <w:tcPr>
            <w:tcW w:type="dxa" w:w="1440"/>
          </w:tcPr>
          <w:p>
            <w:r>
              <w:rPr>
                <w:sz w:val="16"/>
              </w:rPr>
              <w:t>1.5%</w:t>
            </w:r>
          </w:p>
        </w:tc>
      </w:tr>
      <w:tr>
        <w:tc>
          <w:tcPr>
            <w:tcW w:type="dxa" w:w="1440"/>
          </w:tcPr>
          <w:p>
            <w:r>
              <w:rPr>
                <w:sz w:val="16"/>
              </w:rPr>
              <w:t>s_wale</w:t>
            </w:r>
          </w:p>
        </w:tc>
        <w:tc>
          <w:tcPr>
            <w:tcW w:type="dxa" w:w="1440"/>
          </w:tcPr>
          <w:p>
            <w:r>
              <w:rPr>
                <w:sz w:val="16"/>
              </w:rPr>
              <w:t>0.05</w:t>
            </w:r>
          </w:p>
        </w:tc>
        <w:tc>
          <w:tcPr>
            <w:tcW w:type="dxa" w:w="1440"/>
          </w:tcPr>
          <w:p>
            <w:r>
              <w:rPr>
                <w:sz w:val="16"/>
              </w:rPr>
              <w:t>-15.18</w:t>
            </w:r>
          </w:p>
        </w:tc>
        <w:tc>
          <w:tcPr>
            <w:tcW w:type="dxa" w:w="1440"/>
          </w:tcPr>
          <w:p>
            <w:r>
              <w:rPr>
                <w:sz w:val="16"/>
              </w:rPr>
              <w:t>10.64</w:t>
            </w:r>
          </w:p>
        </w:tc>
        <w:tc>
          <w:tcPr>
            <w:tcW w:type="dxa" w:w="1440"/>
          </w:tcPr>
          <w:p>
            <w:r>
              <w:rPr>
                <w:sz w:val="16"/>
              </w:rPr>
              <w:t>-0.88</w:t>
            </w:r>
          </w:p>
        </w:tc>
        <w:tc>
          <w:tcPr>
            <w:tcW w:type="dxa" w:w="1440"/>
          </w:tcPr>
          <w:p>
            <w:r>
              <w:rPr>
                <w:sz w:val="16"/>
              </w:rPr>
              <w:t>2.8%</w:t>
            </w:r>
          </w:p>
        </w:tc>
      </w:tr>
      <w:tr>
        <w:tc>
          <w:tcPr>
            <w:tcW w:type="dxa" w:w="1440"/>
          </w:tcPr>
          <w:p>
            <w:r>
              <w:rPr>
                <w:sz w:val="16"/>
              </w:rPr>
              <w:t>E1</w:t>
            </w:r>
          </w:p>
        </w:tc>
        <w:tc>
          <w:tcPr>
            <w:tcW w:type="dxa" w:w="1440"/>
          </w:tcPr>
          <w:p>
            <w:r>
              <w:rPr>
                <w:sz w:val="16"/>
              </w:rPr>
              <w:t>500 N/m</w:t>
            </w:r>
          </w:p>
        </w:tc>
        <w:tc>
          <w:tcPr>
            <w:tcW w:type="dxa" w:w="1440"/>
          </w:tcPr>
          <w:p>
            <w:r>
              <w:rPr>
                <w:sz w:val="16"/>
              </w:rPr>
              <w:t>-5.96</w:t>
            </w:r>
          </w:p>
        </w:tc>
        <w:tc>
          <w:tcPr>
            <w:tcW w:type="dxa" w:w="1440"/>
          </w:tcPr>
          <w:p>
            <w:r>
              <w:rPr>
                <w:sz w:val="16"/>
              </w:rPr>
              <w:t>4.51</w:t>
            </w:r>
          </w:p>
        </w:tc>
        <w:tc>
          <w:tcPr>
            <w:tcW w:type="dxa" w:w="1440"/>
          </w:tcPr>
          <w:p>
            <w:r>
              <w:rPr>
                <w:sz w:val="16"/>
              </w:rPr>
              <w:t>-0.15</w:t>
            </w:r>
          </w:p>
        </w:tc>
        <w:tc>
          <w:tcPr>
            <w:tcW w:type="dxa" w:w="1440"/>
          </w:tcPr>
          <w:p>
            <w:r>
              <w:rPr>
                <w:sz w:val="16"/>
              </w:rPr>
              <w:t>17.5%</w:t>
            </w:r>
          </w:p>
        </w:tc>
      </w:tr>
      <w:tr>
        <w:tc>
          <w:tcPr>
            <w:tcW w:type="dxa" w:w="1440"/>
          </w:tcPr>
          <w:p>
            <w:r>
              <w:rPr>
                <w:sz w:val="16"/>
              </w:rPr>
              <w:t>p</w:t>
            </w:r>
          </w:p>
        </w:tc>
        <w:tc>
          <w:tcPr>
            <w:tcW w:type="dxa" w:w="1440"/>
          </w:tcPr>
          <w:p>
            <w:r>
              <w:rPr>
                <w:sz w:val="16"/>
              </w:rPr>
              <w:t>50 Pa</w:t>
            </w:r>
          </w:p>
        </w:tc>
        <w:tc>
          <w:tcPr>
            <w:tcW w:type="dxa" w:w="1440"/>
          </w:tcPr>
          <w:p>
            <w:r>
              <w:rPr>
                <w:sz w:val="16"/>
              </w:rPr>
              <w:t>+2.96</w:t>
            </w:r>
          </w:p>
        </w:tc>
        <w:tc>
          <w:tcPr>
            <w:tcW w:type="dxa" w:w="1440"/>
          </w:tcPr>
          <w:p>
            <w:r>
              <w:rPr>
                <w:sz w:val="16"/>
              </w:rPr>
              <w:t>2.24</w:t>
            </w:r>
          </w:p>
        </w:tc>
        <w:tc>
          <w:tcPr>
            <w:tcW w:type="dxa" w:w="1440"/>
          </w:tcPr>
          <w:p>
            <w:r>
              <w:rPr>
                <w:sz w:val="16"/>
              </w:rPr>
              <w:t>+0.15</w:t>
            </w:r>
          </w:p>
        </w:tc>
        <w:tc>
          <w:tcPr>
            <w:tcW w:type="dxa" w:w="1440"/>
          </w:tcPr>
          <w:p>
            <w:r>
              <w:rPr>
                <w:sz w:val="16"/>
              </w:rPr>
              <w:t>1.3%</w:t>
            </w:r>
          </w:p>
        </w:tc>
      </w:tr>
      <w:tr>
        <w:tc>
          <w:tcPr>
            <w:tcW w:type="dxa" w:w="1440"/>
          </w:tcPr>
          <w:p>
            <w:r>
              <w:rPr>
                <w:sz w:val="16"/>
              </w:rPr>
              <w:t>E2/E1</w:t>
            </w:r>
          </w:p>
        </w:tc>
        <w:tc>
          <w:tcPr>
            <w:tcW w:type="dxa" w:w="1440"/>
          </w:tcPr>
          <w:p>
            <w:r>
              <w:rPr>
                <w:sz w:val="16"/>
              </w:rPr>
              <w:t>0.250</w:t>
            </w:r>
          </w:p>
        </w:tc>
        <w:tc>
          <w:tcPr>
            <w:tcW w:type="dxa" w:w="1440"/>
          </w:tcPr>
          <w:p>
            <w:r>
              <w:rPr>
                <w:sz w:val="16"/>
              </w:rPr>
              <w:t>-2.45</w:t>
            </w:r>
          </w:p>
        </w:tc>
        <w:tc>
          <w:tcPr>
            <w:tcW w:type="dxa" w:w="1440"/>
          </w:tcPr>
          <w:p>
            <w:r>
              <w:rPr>
                <w:sz w:val="16"/>
              </w:rPr>
              <w:t>2.35</w:t>
            </w:r>
          </w:p>
        </w:tc>
        <w:tc>
          <w:tcPr>
            <w:tcW w:type="dxa" w:w="1440"/>
          </w:tcPr>
          <w:p>
            <w:r>
              <w:rPr>
                <w:sz w:val="16"/>
              </w:rPr>
              <w:t>-0.06</w:t>
            </w:r>
          </w:p>
        </w:tc>
        <w:tc>
          <w:tcPr>
            <w:tcW w:type="dxa" w:w="1440"/>
          </w:tcPr>
          <w:p>
            <w:r>
              <w:rPr>
                <w:sz w:val="16"/>
              </w:rPr>
              <w:t>15.2%</w:t>
            </w:r>
          </w:p>
        </w:tc>
      </w:tr>
      <w:tr>
        <w:tc>
          <w:tcPr>
            <w:tcW w:type="dxa" w:w="1440"/>
          </w:tcPr>
          <w:p>
            <w:r>
              <w:rPr>
                <w:sz w:val="16"/>
              </w:rPr>
              <w:t>R</w:t>
            </w:r>
          </w:p>
        </w:tc>
        <w:tc>
          <w:tcPr>
            <w:tcW w:type="dxa" w:w="1440"/>
          </w:tcPr>
          <w:p>
            <w:r>
              <w:rPr>
                <w:sz w:val="16"/>
              </w:rPr>
              <w:t>2 mm</w:t>
            </w:r>
          </w:p>
        </w:tc>
        <w:tc>
          <w:tcPr>
            <w:tcW w:type="dxa" w:w="1440"/>
          </w:tcPr>
          <w:p>
            <w:r>
              <w:rPr>
                <w:sz w:val="16"/>
              </w:rPr>
              <w:t>+0.37</w:t>
            </w:r>
          </w:p>
        </w:tc>
        <w:tc>
          <w:tcPr>
            <w:tcW w:type="dxa" w:w="1440"/>
          </w:tcPr>
          <w:p>
            <w:r>
              <w:rPr>
                <w:sz w:val="16"/>
              </w:rPr>
              <w:t>1.50</w:t>
            </w:r>
          </w:p>
        </w:tc>
        <w:tc>
          <w:tcPr>
            <w:tcW w:type="dxa" w:w="1440"/>
          </w:tcPr>
          <w:p>
            <w:r>
              <w:rPr>
                <w:sz w:val="16"/>
              </w:rPr>
              <w:t>+0.28</w:t>
            </w:r>
          </w:p>
        </w:tc>
        <w:tc>
          <w:tcPr>
            <w:tcW w:type="dxa" w:w="1440"/>
          </w:tcPr>
          <w:p>
            <w:r>
              <w:rPr>
                <w:sz w:val="16"/>
              </w:rPr>
              <w:t>0.6%</w:t>
            </w:r>
          </w:p>
        </w:tc>
      </w:tr>
    </w:tbl>
    <w:p>
      <w:r>
        <w:rPr>
          <w:i/>
          <w:sz w:val="18"/>
        </w:rPr>
        <w:t>Table 6.Z: Block A on the creased shell, about the fitted isotropic nominal. Same columns. E1 at 17.5% and E2/E1 at 15.2% exceed the asymmetry threshold, so those two rows should not be rescaled by hand; the swept curves of Figure 6.31 cover them directly.</w:t>
      </w:r>
    </w:p>
    <w:p>
      <w:pPr>
        <w:jc w:val="both"/>
      </w:pPr>
      <w:r>
        <w:t>The predicted spread is 27.0 mm RSS, similar in absolute terms to the dome's but only 7.0% of the crown height here against 19.6% there, because this shell is more than twice as tall. The ordering of the six is the dome's with a single swap, s_wale overtaking E1, so the dominant tolerance does not change with geometry — at least between these two, and before cables and multiple regions enter.</w:t>
      </w:r>
    </w:p>
    <w:p>
      <w:pPr>
        <w:pStyle w:val="Heading3"/>
      </w:pPr>
      <w:r>
        <w:t>What the target adds</w:t>
      </w:r>
    </w:p>
    <w:p>
      <w:pPr>
        <w:jc w:val="both"/>
      </w:pPr>
      <w:r>
        <w:t>The creased shell can answer a question the dome cannot, because it has a design target to be wrong about. The standing mismatch at the nominal is 24.6 mm. The largest single tolerance, s_course, adds 16.3 mm on top of it. The tolerances are therefore not the binding error, and the two are not merely different in size but in kind: the cosine between the mismatch field and the s_course displacement field is +0.006, orthogonal to three decimal places.</w:t>
      </w:r>
    </w:p>
    <w:p>
      <w:pPr>
        <w:jc w:val="both"/>
      </w:pPr>
      <w:r>
        <w:t>Figure 6.34 shows what that means on the surface.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No tightening of these six tolerances moves this shape toward its target.</w:t>
      </w:r>
    </w:p>
    <w:p>
      <w:pPr>
        <w:jc w:val="both"/>
      </w:pPr>
      <w:r>
        <w:t>Figure 6.35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7% on the creased shell, and the surface by 20 and 20 mm RMS respectively. On the geometry that has a target, that is smaller than and geometrically unrelated to the error the model already carries. The practical reading is that for this case study fabrication tolerance is not the limiting factor on how closely the built shape matches the design, and effort is better spent on the model than on the workshop.</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E1 reaches 17.5%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1689320"/>
            <wp:docPr id="1" name="Picture 1"/>
            <wp:cNvGraphicFramePr>
              <a:graphicFrameLocks noChangeAspect="1"/>
            </wp:cNvGraphicFramePr>
            <a:graphic>
              <a:graphicData uri="http://schemas.openxmlformats.org/drawingml/2006/picture">
                <pic:pic>
                  <pic:nvPicPr>
                    <pic:cNvPr id="0" name="tolerance_sweep.png"/>
                    <pic:cNvPicPr/>
                  </pic:nvPicPr>
                  <pic:blipFill>
                    <a:blip r:embed="rId9"/>
                    <a:stretch>
                      <a:fillRect/>
                    </a:stretch>
                  </pic:blipFill>
                  <pic:spPr>
                    <a:xfrm>
                      <a:off x="0" y="0"/>
                      <a:ext cx="5669280" cy="1689320"/>
                    </a:xfrm>
                    <a:prstGeom prst="rect"/>
                  </pic:spPr>
                </pic:pic>
              </a:graphicData>
            </a:graphic>
          </wp:inline>
        </w:drawing>
      </w:r>
    </w:p>
    <w:p>
      <w:r>
        <w:rPr>
          <w:i/>
          <w:sz w:val="18"/>
        </w:rPr>
        <w:t>Figure 6.31: Deviation against tolerance magnitude, each factor swept from a quarter to twice its assumed tolerance, 60 solves per geometry. The dotted vertical is the tolerance assumed in the tables. (a) and (b) give the surface movement from the baseline equilibrium on each geometry. (c) gives what the creased shell is actually judged on, its deviation from the design target: every curve starts at the standing mismatch and rises, so no tolerance at any magnitude in range brings the built shape closer to the shape it was designed to hold. Curves are the worse of the two signs at each magnitude.</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disc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3" name="Picture 3"/>
            <wp:cNvGraphicFramePr>
              <a:graphicFrameLocks noChangeAspect="1"/>
            </wp:cNvGraphicFramePr>
            <a:graphic>
              <a:graphicData uri="http://schemas.openxmlformats.org/drawingml/2006/picture">
                <pic:pic>
                  <pic:nvPicPr>
                    <pic:cNvPr id="0" name="blockA_2part_sensitivity.png"/>
                    <pic:cNvPicPr/>
                  </pic:nvPicPr>
                  <pic:blipFill>
                    <a:blip r:embed="rId11"/>
                    <a:stretch>
                      <a:fillRect/>
                    </a:stretch>
                  </pic:blipFill>
                  <pic:spPr>
                    <a:xfrm>
                      <a:off x="0" y="0"/>
                      <a:ext cx="5669280" cy="3926801"/>
                    </a:xfrm>
                    <a:prstGeom prst="rect"/>
                  </pic:spPr>
                </pic:pic>
              </a:graphicData>
            </a:graphic>
          </wp:inline>
        </w:drawing>
      </w:r>
    </w:p>
    <w:p>
      <w:r>
        <w:rPr>
          <w:i/>
          <w:sz w:val="18"/>
        </w:rPr>
        <w:t>Figure 6.33: Block A on the creased shell, the same four panels. The ordering of the factors is the dome's with one swap, but E1 and E2/E1 exceed the linearity threshold here, so those two rows do not rescale to a different tolerance.</w:t>
      </w:r>
    </w:p>
    <w:p>
      <w:pPr>
        <w:jc w:val="center"/>
      </w:pPr>
      <w:r>
        <w:drawing>
          <wp:inline xmlns:a="http://schemas.openxmlformats.org/drawingml/2006/main" xmlns:pic="http://schemas.openxmlformats.org/drawingml/2006/picture">
            <wp:extent cx="5669280" cy="4694593"/>
            <wp:docPr id="4" name="Picture 4"/>
            <wp:cNvGraphicFramePr>
              <a:graphicFrameLocks noChangeAspect="1"/>
            </wp:cNvGraphicFramePr>
            <a:graphic>
              <a:graphicData uri="http://schemas.openxmlformats.org/drawingml/2006/picture">
                <pic:pic>
                  <pic:nvPicPr>
                    <pic:cNvPr id="0" name="blockA_2part_shape.png"/>
                    <pic:cNvPicPr/>
                  </pic:nvPicPr>
                  <pic:blipFill>
                    <a:blip r:embed="rId12"/>
                    <a:stretch>
                      <a:fillRect/>
                    </a:stretch>
                  </pic:blipFill>
                  <pic:spPr>
                    <a:xfrm>
                      <a:off x="0" y="0"/>
                      <a:ext cx="5669280" cy="4694593"/>
                    </a:xfrm>
                    <a:prstGeom prst="rect"/>
                  </pic:spPr>
                </pic:pic>
              </a:graphicData>
            </a:graphic>
          </wp:inline>
        </w:drawing>
      </w:r>
    </w:p>
    <w:p>
      <w:r>
        <w:rPr>
          <w:i/>
          <w:sz w:val="18"/>
        </w:rPr>
        <w:t>Figure 6.34: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5" name="Picture 5"/>
            <wp:cNvGraphicFramePr>
              <a:graphicFrameLocks noChangeAspect="1"/>
            </wp:cNvGraphicFramePr>
            <a:graphic>
              <a:graphicData uri="http://schemas.openxmlformats.org/drawingml/2006/picture">
                <pic:pic>
                  <pic:nvPicPr>
                    <pic:cNvPr id="0" name="2part_target_diagnosis.png"/>
                    <pic:cNvPicPr/>
                  </pic:nvPicPr>
                  <pic:blipFill>
                    <a:blip r:embed="rId13"/>
                    <a:stretch>
                      <a:fillRect/>
                    </a:stretch>
                  </pic:blipFill>
                  <pic:spPr>
                    <a:xfrm>
                      <a:off x="0" y="0"/>
                      <a:ext cx="5669280" cy="1827384"/>
                    </a:xfrm>
                    <a:prstGeom prst="rect"/>
                  </pic:spPr>
                </pic:pic>
              </a:graphicData>
            </a:graphic>
          </wp:inline>
        </w:drawing>
      </w:r>
    </w:p>
    <w:p>
      <w:r>
        <w:rPr>
          <w:i/>
          <w:sz w:val="18"/>
        </w:rPr>
        <w:t>Figure 6.35: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6.35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