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6.5.3 Robustness to construction imprecision</w:t>
      </w:r>
    </w:p>
    <w:p>
      <w:pPr>
        <w:jc w:val="both"/>
      </w:pPr>
      <w:r>
        <w:t>The design of Section 6.4 is computed from nominal values: a stretch factor the knitting is asked to deliver, a membrane stiffness measured on coupons, an inflation pressure held by a regulator, a boundary ring cut to a drawing. The built structure has none of these exactly. This section asks how far the inflated equilibrium moves when they are wrong by as much as fabrication can be expected to leave them wrong, and, where the geometry carries a design target, whether that movement matters against the error the design already has.</w:t>
      </w:r>
    </w:p>
    <w:p>
      <w:pPr>
        <w:jc w:val="both"/>
      </w:pPr>
      <w:r>
        <w:t>Eight parameters are perturbed one at a time about a nominal working point: the two stretch factors s_wale and s_course, the membrane stiffness E1, the orthotropy ratio E2/E1, Poisson's ratio, the inflation pressure p, the boundary radius R, and the rest length of the crease cable. Two structures are studied. The circular dome of Section 6.2 is the method check: a flat rest mesh, no cable, no design target of its own. The creased shell of Section 6.4.1 is the case study, and it is taken as designed — the optimised stretch factors of strategy D, s_wale = 1.2992 and s_course = 0.9603, with the crease cable that optimisation was run with.</w:t>
      </w:r>
    </w:p>
    <w:p>
      <w:pPr>
        <w:jc w:val="both"/>
      </w:pPr>
      <w:r>
        <w:t>The reference matters as much as the perturbation. Deviations are measured from the equilibrium the design itself predicts, not from the design target. The question a tolerance budget has to answer is how far the built structure departs from what the optimisation said it would be; how far that prediction sits from the target is a separate question, settled in Section 6.4 and not improvable by tightening any tolerance. On the creased shell the designed equilibrium stands 10.3 mm from the target in RMS over interior vertices, and every deviation reported below is measured from that equilibrium.</w:t>
      </w:r>
    </w:p>
    <w:p>
      <w:pPr>
        <w:pStyle w:val="Heading3"/>
      </w:pPr>
      <w:r>
        <w:t>Where the tolerances come from</w:t>
      </w:r>
    </w:p>
    <w:p>
      <w:pPr>
        <w:jc w:val="both"/>
      </w:pPr>
      <w:r>
        <w:t>A robustness study is worth exactly what its tolerances are worth, so each is stated with the mechanism behind it rather than as a bare magnitude. The mechanisms differ in kind, and that matters as much as the numbers: some errors apply to the whole structure at once because one panel is one fabric knitted on one machine setting, while others are drawn afresh for each region or each cable because each is made by hand.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parameter</w:t>
            </w:r>
          </w:p>
        </w:tc>
        <w:tc>
          <w:tcPr>
            <w:tcW w:type="dxa" w:w="1728"/>
          </w:tcPr>
          <w:p>
            <w:r>
              <w:rPr>
                <w:b/>
                <w:sz w:val="16"/>
              </w:rPr>
              <w:t>one tolerance</w:t>
            </w:r>
          </w:p>
        </w:tc>
        <w:tc>
          <w:tcPr>
            <w:tcW w:type="dxa" w:w="1728"/>
          </w:tcPr>
          <w:p>
            <w:r>
              <w:rPr>
                <w:b/>
                <w:sz w:val="16"/>
              </w:rPr>
              <w:t>where it comes from</w:t>
            </w:r>
          </w:p>
        </w:tc>
        <w:tc>
          <w:tcPr>
            <w:tcW w:type="dxa" w:w="1728"/>
          </w:tcPr>
          <w:p>
            <w:r>
              <w:rPr>
                <w:b/>
                <w:sz w:val="16"/>
              </w:rPr>
              <w:t>error model</w:t>
            </w:r>
          </w:p>
        </w:tc>
        <w:tc>
          <w:tcPr>
            <w:tcW w:type="dxa" w:w="1728"/>
          </w:tcPr>
          <w:p>
            <w:r>
              <w:rPr>
                <w:b/>
                <w:sz w:val="16"/>
              </w:rPr>
              <w:t>status</w:t>
            </w:r>
          </w:p>
        </w:tc>
      </w:tr>
      <w:tr>
        <w:tc>
          <w:tcPr>
            <w:tcW w:type="dxa" w:w="1728"/>
          </w:tcPr>
          <w:p>
            <w:r>
              <w:rPr>
                <w:sz w:val="16"/>
              </w:rPr>
              <w:t>s_wale, s_course</w:t>
            </w:r>
          </w:p>
        </w:tc>
        <w:tc>
          <w:tcPr>
            <w:tcW w:type="dxa" w:w="1728"/>
          </w:tcPr>
          <w:p>
            <w:r>
              <w:rPr>
                <w:sz w:val="16"/>
              </w:rPr>
              <w:t>0.05 on the factor</w:t>
            </w:r>
          </w:p>
        </w:tc>
        <w:tc>
          <w:tcPr>
            <w:tcW w:type="dxa" w:w="1728"/>
          </w:tcPr>
          <w:p>
            <w:r>
              <w:rPr>
                <w:sz w:val="16"/>
              </w:rPr>
              <w:t>Stitch size, measured in the Chapter 4 tensile tests. The stretch factor is what the commanded stitch length delivers, so a per-stitch error of the order of 0.1 mm accumulates over the courses of a panel into a factor deviation.</w:t>
            </w:r>
          </w:p>
        </w:tc>
        <w:tc>
          <w:tcPr>
            <w:tcW w:type="dxa" w:w="1728"/>
          </w:tcPr>
          <w:p>
            <w:r>
              <w:rPr>
                <w:sz w:val="16"/>
              </w:rPr>
              <w:t>systematic + independent</w:t>
            </w:r>
          </w:p>
        </w:tc>
        <w:tc>
          <w:tcPr>
            <w:tcW w:type="dxa" w:w="1728"/>
          </w:tcPr>
          <w:p>
            <w:r>
              <w:rPr>
                <w:sz w:val="16"/>
              </w:rPr>
              <w:t>estimate</w:t>
            </w:r>
          </w:p>
        </w:tc>
      </w:tr>
      <w:tr>
        <w:tc>
          <w:tcPr>
            <w:tcW w:type="dxa" w:w="1728"/>
          </w:tcPr>
          <w:p>
            <w:r>
              <w:rPr>
                <w:sz w:val="16"/>
              </w:rPr>
              <w:t>E1, E2/E1</w:t>
            </w:r>
          </w:p>
        </w:tc>
        <w:tc>
          <w:tcPr>
            <w:tcW w:type="dxa" w:w="1728"/>
          </w:tcPr>
          <w:p>
            <w:r>
              <w:rPr>
                <w:sz w:val="16"/>
              </w:rPr>
              <w:t>10%</w:t>
            </w:r>
          </w:p>
        </w:tc>
        <w:tc>
          <w:tcPr>
            <w:tcW w:type="dxa" w:w="1728"/>
          </w:tcPr>
          <w:p>
            <w:r>
              <w:rPr>
                <w:sz w:val="16"/>
              </w:rPr>
              <w:t>Chapter 4 tensile tests: scatter across repeats on nominally identical specimens, which is fabrication limitation, and across yarn batches. Chapter 4 reports the measured spread; it should replace this assumed 10%.</w:t>
            </w:r>
          </w:p>
        </w:tc>
        <w:tc>
          <w:tcPr>
            <w:tcW w:type="dxa" w:w="1728"/>
          </w:tcPr>
          <w:p>
            <w:r>
              <w:rPr>
                <w:sz w:val="16"/>
              </w:rPr>
              <w:t>systematic</w:t>
            </w:r>
          </w:p>
        </w:tc>
        <w:tc>
          <w:tcPr>
            <w:tcW w:type="dxa" w:w="1728"/>
          </w:tcPr>
          <w:p>
            <w:r>
              <w:rPr>
                <w:sz w:val="16"/>
              </w:rPr>
              <w:t>estimate</w:t>
            </w:r>
          </w:p>
        </w:tc>
      </w:tr>
      <w:tr>
        <w:tc>
          <w:tcPr>
            <w:tcW w:type="dxa" w:w="1728"/>
          </w:tcPr>
          <w:p>
            <w:r>
              <w:rPr>
                <w:sz w:val="16"/>
              </w:rPr>
              <w:t>p</w:t>
            </w:r>
          </w:p>
        </w:tc>
        <w:tc>
          <w:tcPr>
            <w:tcW w:type="dxa" w:w="1728"/>
          </w:tcPr>
          <w:p>
            <w:r>
              <w:rPr>
                <w:sz w:val="16"/>
              </w:rPr>
              <w:t>50 Pa (5%)</w:t>
            </w:r>
          </w:p>
        </w:tc>
        <w:tc>
          <w:tcPr>
            <w:tcW w:type="dxa" w:w="1728"/>
          </w:tcPr>
          <w:p>
            <w:r>
              <w:rPr>
                <w:sz w:val="16"/>
              </w:rPr>
              <w:t>Sensor resolution and the width of the band the valve holds between corrections, from 6.1.2.</w:t>
            </w:r>
          </w:p>
        </w:tc>
        <w:tc>
          <w:tcPr>
            <w:tcW w:type="dxa" w:w="1728"/>
          </w:tcPr>
          <w:p>
            <w:r>
              <w:rPr>
                <w:sz w:val="16"/>
              </w:rPr>
              <w:t>systematic</w:t>
            </w:r>
          </w:p>
        </w:tc>
        <w:tc>
          <w:tcPr>
            <w:tcW w:type="dxa" w:w="1728"/>
          </w:tcPr>
          <w:p>
            <w:r>
              <w:rPr>
                <w:sz w:val="16"/>
              </w:rPr>
              <w:t>estimate</w:t>
            </w:r>
          </w:p>
        </w:tc>
      </w:tr>
      <w:tr>
        <w:tc>
          <w:tcPr>
            <w:tcW w:type="dxa" w:w="1728"/>
          </w:tcPr>
          <w:p>
            <w:r>
              <w:rPr>
                <w:sz w:val="16"/>
              </w:rPr>
              <w:t>R</w:t>
            </w:r>
          </w:p>
        </w:tc>
        <w:tc>
          <w:tcPr>
            <w:tcW w:type="dxa" w:w="1728"/>
          </w:tcPr>
          <w:p>
            <w:r>
              <w:rPr>
                <w:sz w:val="16"/>
              </w:rPr>
              <w:t>2 mm (0.33%)</w:t>
            </w:r>
          </w:p>
        </w:tc>
        <w:tc>
          <w:tcPr>
            <w:tcW w:type="dxa" w:w="1728"/>
          </w:tcPr>
          <w:p>
            <w:r>
              <w:rPr>
                <w:sz w:val="16"/>
              </w:rPr>
              <w:t>Boundary displacement, given as ±2 mm in 5.5.2: the ring is anchored to a tolerance rather than exactly. Entered here as a uniform radial error.</w:t>
            </w:r>
          </w:p>
        </w:tc>
        <w:tc>
          <w:tcPr>
            <w:tcW w:type="dxa" w:w="1728"/>
          </w:tcPr>
          <w:p>
            <w:r>
              <w:rPr>
                <w:sz w:val="16"/>
              </w:rPr>
              <w:t>systematic</w:t>
            </w:r>
          </w:p>
        </w:tc>
        <w:tc>
          <w:tcPr>
            <w:tcW w:type="dxa" w:w="1728"/>
          </w:tcPr>
          <w:p>
            <w:r>
              <w:rPr>
                <w:sz w:val="16"/>
              </w:rPr>
              <w:t>estimate</w:t>
            </w:r>
          </w:p>
        </w:tc>
      </w:tr>
      <w:tr>
        <w:tc>
          <w:tcPr>
            <w:tcW w:type="dxa" w:w="1728"/>
          </w:tcPr>
          <w:p>
            <w:r>
              <w:rPr>
                <w:sz w:val="16"/>
              </w:rPr>
              <w:t>nu</w:t>
            </w:r>
          </w:p>
        </w:tc>
        <w:tc>
          <w:tcPr>
            <w:tcW w:type="dxa" w:w="1728"/>
          </w:tcPr>
          <w:p>
            <w:r>
              <w:rPr>
                <w:sz w:val="16"/>
              </w:rPr>
              <w:t>10%</w:t>
            </w:r>
          </w:p>
        </w:tc>
        <w:tc>
          <w:tcPr>
            <w:tcW w:type="dxa" w:w="1728"/>
          </w:tcPr>
          <w:p>
            <w:r>
              <w:rPr>
                <w:sz w:val="16"/>
              </w:rPr>
              <w:t>As E1. Not exercised in Block A; Poisson's ratio enters from Block B.</w:t>
            </w:r>
          </w:p>
        </w:tc>
        <w:tc>
          <w:tcPr>
            <w:tcW w:type="dxa" w:w="1728"/>
          </w:tcPr>
          <w:p>
            <w:r>
              <w:rPr>
                <w:sz w:val="16"/>
              </w:rPr>
              <w:t>systematic</w:t>
            </w:r>
          </w:p>
        </w:tc>
        <w:tc>
          <w:tcPr>
            <w:tcW w:type="dxa" w:w="1728"/>
          </w:tcPr>
          <w:p>
            <w:r>
              <w:rPr>
                <w:sz w:val="16"/>
              </w:rPr>
              <w:t>estimate</w:t>
            </w:r>
          </w:p>
        </w:tc>
      </w:tr>
      <w:tr>
        <w:tc>
          <w:tcPr>
            <w:tcW w:type="dxa" w:w="1728"/>
          </w:tcPr>
          <w:p>
            <w:r>
              <w:rPr>
                <w:sz w:val="16"/>
              </w:rPr>
              <w:t>cable rest length</w:t>
            </w:r>
          </w:p>
        </w:tc>
        <w:tc>
          <w:tcPr>
            <w:tcW w:type="dxa" w:w="1728"/>
          </w:tcPr>
          <w:p>
            <w:r>
              <w:rPr>
                <w:sz w:val="16"/>
              </w:rPr>
              <w:t>0.1%</w:t>
            </w:r>
          </w:p>
        </w:tc>
        <w:tc>
          <w:tcPr>
            <w:tcW w:type="dxa" w:w="1728"/>
          </w:tcPr>
          <w:p>
            <w:r>
              <w:rPr>
                <w:sz w:val="16"/>
              </w:rPr>
              <w:t>Channel insertion and anchorage take-up set the effective rest length; the turnbuckle then adjusts it in half-turn steps, so the residual is quantised rather than Gaussian. Not exercised in Block A, which has no cable.</w:t>
            </w:r>
          </w:p>
        </w:tc>
        <w:tc>
          <w:tcPr>
            <w:tcW w:type="dxa" w:w="1728"/>
          </w:tcPr>
          <w:p>
            <w:r>
              <w:rPr>
                <w:sz w:val="16"/>
              </w:rPr>
              <w:t>independent</w:t>
            </w:r>
          </w:p>
        </w:tc>
        <w:tc>
          <w:tcPr>
            <w:tcW w:type="dxa" w:w="1728"/>
          </w:tcPr>
          <w:p>
            <w:r>
              <w:rPr>
                <w:sz w:val="16"/>
              </w:rPr>
              <w:t>estimate</w:t>
            </w:r>
          </w:p>
        </w:tc>
      </w:tr>
    </w:tbl>
    <w:p>
      <w:r>
        <w:rPr>
          <w:i/>
          <w:sz w:val="18"/>
        </w:rPr>
        <w:t>Table 6.X: The tolerances, their mechanisms and their error models. Systematic errors apply to the whole structure at once; independent ones are drawn separately per region or per cable. Every magnitude is currently an estimate: the section each waits on is named, and tolerances.py records the same table in machine-readable form.</w:t>
      </w:r>
    </w:p>
    <w:p>
      <w:pPr>
        <w:jc w:val="both"/>
      </w:pPr>
      <w:r>
        <w:t>Every one of these is exercised. Poisson's ratio and the cable rest length were absent from the first pass of this study, the one on a cable-free model, and both are now included: the case study has a cable at the crease, so its rest length is a real tolerance with a real mechanism rather than a parameter waiting for a later block.</w:t>
      </w:r>
    </w:p>
    <w:p>
      <w:pPr>
        <w:jc w:val="both"/>
      </w:pPr>
      <w:r>
        <w:t>The stretch-factor entry deserves its own remark, because it is the dominant term in everything that follows and it is the one furthest from a direct measurement. The quantity the fabrication controls is stitch size, not the stretch factor; the factor is a consequence of it. A per-stitch error of the order of a tenth of a millimetre is small against any single stitch, but it accumulates along a course, and it is that accumulation, over a panel of the size built here, that produces a stretch-factor deviation of the order assumed. Converting the measured stitch-size scatter into a factor tolerance is the single most valuable input this study is waiting on, and it is arithmetic on data Chapter 4 already has rather than a new experiment.</w:t>
      </w:r>
    </w:p>
    <w:p>
      <w:pPr>
        <w:pStyle w:val="Heading3"/>
      </w:pPr>
      <w:r>
        <w:t>How the responses are measured</w:t>
      </w:r>
    </w:p>
    <w:p>
      <w:pPr>
        <w:jc w:val="both"/>
      </w:pPr>
      <w:r>
        <w:t>Two outputs are reported for each perturbation. The crown height is a scalar and admits the usual first-order treatment: a central difference gives the half-range, and an elasticity, the relative change in crown height per relative change in the factor, makes the six comparable across their different units. L_pos is the RMS displacement of the surface from the baseline equilibrium, taken over interior vertices only. The boundary is clamped, so its deviation is zero by construction and including it would deflate every figure by an amount set by nothing but boundary discretisation.</w:t>
      </w:r>
    </w:p>
    <w:p>
      <w:pPr>
        <w:jc w:val="both"/>
      </w:pPr>
      <w:r>
        <w:t>The nominal for the creased shell is not free to be chosen. Its rest mesh is the shape the structure is meant to hold, so the stretch factors are whatever puts the inflated equilibrium on that shape, and they are fitted. The anisotropic two-parameter fit saturates at both bounds, s_wale to 1.400 and s_course to 0.950, which is a result in itself — a uniform pre-strain cannot reach this target — but it is unusable as a nominal, since a working point on a bound cannot be perturbed symmetrically and the plus and minus responses would differ because one side was clipped rather than because the physics is asymmetric. The isotropic fit is interior at s = 1.1171, and that is the working point used here. It leaves a standing mismatch of 24.6 mm before any imperfection is applied.</w:t>
      </w:r>
    </w:p>
    <w:p>
      <w:pPr>
        <w:jc w:val="both"/>
      </w:pPr>
      <w:r>
        <w:t>The numerical floor was measured rather than assumed. Re-solving the baseline along a different stretch-factor continuation path reproduces it to below 0.01 um in both outputs, at the 1e-8 m precision of the solver's output. Every response reported below is physical by five orders of magnitude.</w:t>
      </w:r>
    </w:p>
    <w:p>
      <w:pPr>
        <w:pStyle w:val="Heading3"/>
      </w:pPr>
      <w:r>
        <w:t>How wrong is too wrong</w:t>
      </w:r>
    </w:p>
    <w:p>
      <w:pPr>
        <w:jc w:val="both"/>
      </w:pPr>
      <w:r>
        <w:t>Reporting a response at one assumed tolerance answers a question nobody is in a position to ask yet, since five of the six magnitudes are estimates. Figure 6.31 asks the question the other way round: it applies the same relative error to every parameter, from a quarter of a percent to two percent of nominal, and plots what the surface does. The axis is then a property of the fabrication rather than of an assumption, and the six factors can be read against one another.</w:t>
      </w:r>
    </w:p>
    <w:p>
      <w:pPr>
        <w:jc w:val="both"/>
      </w:pPr>
      <w:r>
        <w:t>One percent is not a small error here. On the dome a one percent error in s_course moves the surface 3.9 mm and on the case study 2.8 mm, against a designed equilibrium that stands 10.3 mm from its target. Two percent roughly doubles both, the responses being linear across the range. The weak parameters are weak by an order of magnitude rather than marginally: one percent on the orthotropy ratio or on Poisson's ratio moves the case study by about 0.09 mm, below the precision any of this is measured to, and one percent on E1 by 0.26 mm.</w:t>
      </w:r>
    </w:p>
    <w:p>
      <w:pPr>
        <w:jc w:val="both"/>
      </w:pPr>
      <w:r>
        <w:t>The boundary radius and the cable rest length are set as lengths, not as fractions, so panels (c) and (d) give them in millimetres. At the ±2 mm of 5.5.2 the boundary contributes about 1.9 mm of surface deviation on both geometries. Ten millimetres of radius error would give 7.5 mm and ten of cable error 2.9 mm — the cable is the gentler of the two per millimetre, and only overtakes the stretch factors when expressed as a percentage because it is 1.32 m long. Both are quantities a workshop can measure directly, which makes them the two tolerances in this study that could be replaced by a measurement tomorrow.</w:t>
      </w:r>
    </w:p>
    <w:p>
      <w:pPr>
        <w:jc w:val="both"/>
      </w:pPr>
      <w:r>
        <w:t>Which parameter matters most depends on the unit the question is asked in, and that is not a defect of the analysis but the substance of it. Per percent of nominal the boundary radius is the steepest parameter of the eight on both geometries; at the tolerances actually assumed, as in the tables below, it is the smallest contributor of all, because it is anchored to 0.33% where the stretch factor is assumed good to 4.5%. Both readings are true. R is the most dangerous parameter and the least troublesome one. The practical consequence is that the ranking in a tolerance budget is a statement about the workshop as much as about the structure, and it moves if the workshop does.</w:t>
      </w:r>
    </w:p>
    <w:p>
      <w:pPr>
        <w:jc w:val="both"/>
      </w:pPr>
      <w:r>
        <w:t>The curves are straight over the whole range, which is worth more than it appears. The claim that an estimate may be replaced without re-running rested until now on the asymmetry between the plus and minus responses at a single magnitude — a local check. These sweeps show the response is linear on every factor and both geometries, so a response may be scaled to whatever tolerance the measurements eventually give, and read beyond the frame of the figure for the parameters whose assumed tolerances are larger than two percent.</w:t>
      </w:r>
    </w:p>
    <w:p>
      <w:pPr>
        <w:pStyle w:val="Heading3"/>
      </w:pPr>
      <w:r>
        <w:t>The circular dome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factor</w:t>
            </w:r>
          </w:p>
        </w:tc>
        <w:tc>
          <w:tcPr>
            <w:tcW w:type="dxa" w:w="1440"/>
          </w:tcPr>
          <w:p>
            <w:r>
              <w:rPr>
                <w:b/>
                <w:sz w:val="16"/>
              </w:rPr>
              <w:t>one tolerance</w:t>
            </w:r>
          </w:p>
        </w:tc>
        <w:tc>
          <w:tcPr>
            <w:tcW w:type="dxa" w:w="1440"/>
          </w:tcPr>
          <w:p>
            <w:r>
              <w:rPr>
                <w:b/>
                <w:sz w:val="16"/>
              </w:rPr>
              <w:t>crown height (mm)</w:t>
            </w:r>
          </w:p>
        </w:tc>
        <w:tc>
          <w:tcPr>
            <w:tcW w:type="dxa" w:w="1440"/>
          </w:tcPr>
          <w:p>
            <w:r>
              <w:rPr>
                <w:b/>
                <w:sz w:val="16"/>
              </w:rPr>
              <w:t>surface, L_pos (mm)</w:t>
            </w:r>
          </w:p>
        </w:tc>
        <w:tc>
          <w:tcPr>
            <w:tcW w:type="dxa" w:w="1440"/>
          </w:tcPr>
          <w:p>
            <w:r>
              <w:rPr>
                <w:b/>
                <w:sz w:val="16"/>
              </w:rPr>
              <w:t>elasticity</w:t>
            </w:r>
          </w:p>
        </w:tc>
        <w:tc>
          <w:tcPr>
            <w:tcW w:type="dxa" w:w="1440"/>
          </w:tcPr>
          <w:p>
            <w:r>
              <w:rPr>
                <w:b/>
                <w:sz w:val="16"/>
              </w:rPr>
              <w:t>asymmetry</w:t>
            </w:r>
          </w:p>
        </w:tc>
      </w:tr>
      <w:tr>
        <w:tc>
          <w:tcPr>
            <w:tcW w:type="dxa" w:w="1440"/>
          </w:tcPr>
          <w:p>
            <w:r>
              <w:rPr>
                <w:sz w:val="16"/>
              </w:rPr>
              <w:t>s_course</w:t>
            </w:r>
          </w:p>
        </w:tc>
        <w:tc>
          <w:tcPr>
            <w:tcW w:type="dxa" w:w="1440"/>
          </w:tcPr>
          <w:p>
            <w:r>
              <w:rPr>
                <w:sz w:val="16"/>
              </w:rPr>
              <w:t>0.05</w:t>
            </w:r>
          </w:p>
        </w:tc>
        <w:tc>
          <w:tcPr>
            <w:tcW w:type="dxa" w:w="1440"/>
          </w:tcPr>
          <w:p>
            <w:r>
              <w:rPr>
                <w:sz w:val="16"/>
              </w:rPr>
              <w:t>-27.38</w:t>
            </w:r>
          </w:p>
        </w:tc>
        <w:tc>
          <w:tcPr>
            <w:tcW w:type="dxa" w:w="1440"/>
          </w:tcPr>
          <w:p>
            <w:r>
              <w:rPr>
                <w:sz w:val="16"/>
              </w:rPr>
              <w:t>17.23</w:t>
            </w:r>
          </w:p>
        </w:tc>
        <w:tc>
          <w:tcPr>
            <w:tcW w:type="dxa" w:w="1440"/>
          </w:tcPr>
          <w:p>
            <w:r>
              <w:rPr>
                <w:sz w:val="16"/>
              </w:rPr>
              <w:t>-3.67</w:t>
            </w:r>
          </w:p>
        </w:tc>
        <w:tc>
          <w:tcPr>
            <w:tcW w:type="dxa" w:w="1440"/>
          </w:tcPr>
          <w:p>
            <w:r>
              <w:rPr>
                <w:sz w:val="16"/>
              </w:rPr>
              <w:t>6.8%</w:t>
            </w:r>
          </w:p>
        </w:tc>
      </w:tr>
      <w:tr>
        <w:tc>
          <w:tcPr>
            <w:tcW w:type="dxa" w:w="1440"/>
          </w:tcPr>
          <w:p>
            <w:r>
              <w:rPr>
                <w:sz w:val="16"/>
              </w:rPr>
              <w:t>E1</w:t>
            </w:r>
          </w:p>
        </w:tc>
        <w:tc>
          <w:tcPr>
            <w:tcW w:type="dxa" w:w="1440"/>
          </w:tcPr>
          <w:p>
            <w:r>
              <w:rPr>
                <w:sz w:val="16"/>
              </w:rPr>
              <w:t>500 N/m</w:t>
            </w:r>
          </w:p>
        </w:tc>
        <w:tc>
          <w:tcPr>
            <w:tcW w:type="dxa" w:w="1440"/>
          </w:tcPr>
          <w:p>
            <w:r>
              <w:rPr>
                <w:sz w:val="16"/>
              </w:rPr>
              <w:t>-10.33</w:t>
            </w:r>
          </w:p>
        </w:tc>
        <w:tc>
          <w:tcPr>
            <w:tcW w:type="dxa" w:w="1440"/>
          </w:tcPr>
          <w:p>
            <w:r>
              <w:rPr>
                <w:sz w:val="16"/>
              </w:rPr>
              <w:t>6.45</w:t>
            </w:r>
          </w:p>
        </w:tc>
        <w:tc>
          <w:tcPr>
            <w:tcW w:type="dxa" w:w="1440"/>
          </w:tcPr>
          <w:p>
            <w:r>
              <w:rPr>
                <w:sz w:val="16"/>
              </w:rPr>
              <w:t>-0.63</w:t>
            </w:r>
          </w:p>
        </w:tc>
        <w:tc>
          <w:tcPr>
            <w:tcW w:type="dxa" w:w="1440"/>
          </w:tcPr>
          <w:p>
            <w:r>
              <w:rPr>
                <w:sz w:val="16"/>
              </w:rPr>
              <w:t>13.4%</w:t>
            </w:r>
          </w:p>
        </w:tc>
      </w:tr>
      <w:tr>
        <w:tc>
          <w:tcPr>
            <w:tcW w:type="dxa" w:w="1440"/>
          </w:tcPr>
          <w:p>
            <w:r>
              <w:rPr>
                <w:sz w:val="16"/>
              </w:rPr>
              <w:t>s_wale</w:t>
            </w:r>
          </w:p>
        </w:tc>
        <w:tc>
          <w:tcPr>
            <w:tcW w:type="dxa" w:w="1440"/>
          </w:tcPr>
          <w:p>
            <w:r>
              <w:rPr>
                <w:sz w:val="16"/>
              </w:rPr>
              <w:t>0.05</w:t>
            </w:r>
          </w:p>
        </w:tc>
        <w:tc>
          <w:tcPr>
            <w:tcW w:type="dxa" w:w="1440"/>
          </w:tcPr>
          <w:p>
            <w:r>
              <w:rPr>
                <w:sz w:val="16"/>
              </w:rPr>
              <w:t>-10.12</w:t>
            </w:r>
          </w:p>
        </w:tc>
        <w:tc>
          <w:tcPr>
            <w:tcW w:type="dxa" w:w="1440"/>
          </w:tcPr>
          <w:p>
            <w:r>
              <w:rPr>
                <w:sz w:val="16"/>
              </w:rPr>
              <w:t>6.67</w:t>
            </w:r>
          </w:p>
        </w:tc>
        <w:tc>
          <w:tcPr>
            <w:tcW w:type="dxa" w:w="1440"/>
          </w:tcPr>
          <w:p>
            <w:r>
              <w:rPr>
                <w:sz w:val="16"/>
              </w:rPr>
              <w:t>-1.36</w:t>
            </w:r>
          </w:p>
        </w:tc>
        <w:tc>
          <w:tcPr>
            <w:tcW w:type="dxa" w:w="1440"/>
          </w:tcPr>
          <w:p>
            <w:r>
              <w:rPr>
                <w:sz w:val="16"/>
              </w:rPr>
              <w:t>10.2%</w:t>
            </w:r>
          </w:p>
        </w:tc>
      </w:tr>
      <w:tr>
        <w:tc>
          <w:tcPr>
            <w:tcW w:type="dxa" w:w="1440"/>
          </w:tcPr>
          <w:p>
            <w:r>
              <w:rPr>
                <w:sz w:val="16"/>
              </w:rPr>
              <w:t>E2/E1</w:t>
            </w:r>
          </w:p>
        </w:tc>
        <w:tc>
          <w:tcPr>
            <w:tcW w:type="dxa" w:w="1440"/>
          </w:tcPr>
          <w:p>
            <w:r>
              <w:rPr>
                <w:sz w:val="16"/>
              </w:rPr>
              <w:t>0.250</w:t>
            </w:r>
          </w:p>
        </w:tc>
        <w:tc>
          <w:tcPr>
            <w:tcW w:type="dxa" w:w="1440"/>
          </w:tcPr>
          <w:p>
            <w:r>
              <w:rPr>
                <w:sz w:val="16"/>
              </w:rPr>
              <w:t>-7.05</w:t>
            </w:r>
          </w:p>
        </w:tc>
        <w:tc>
          <w:tcPr>
            <w:tcW w:type="dxa" w:w="1440"/>
          </w:tcPr>
          <w:p>
            <w:r>
              <w:rPr>
                <w:sz w:val="16"/>
              </w:rPr>
              <w:t>4.36</w:t>
            </w:r>
          </w:p>
        </w:tc>
        <w:tc>
          <w:tcPr>
            <w:tcW w:type="dxa" w:w="1440"/>
          </w:tcPr>
          <w:p>
            <w:r>
              <w:rPr>
                <w:sz w:val="16"/>
              </w:rPr>
              <w:t>-0.43</w:t>
            </w:r>
          </w:p>
        </w:tc>
        <w:tc>
          <w:tcPr>
            <w:tcW w:type="dxa" w:w="1440"/>
          </w:tcPr>
          <w:p>
            <w:r>
              <w:rPr>
                <w:sz w:val="16"/>
              </w:rPr>
              <w:t>9.6%</w:t>
            </w:r>
          </w:p>
        </w:tc>
      </w:tr>
      <w:tr>
        <w:tc>
          <w:tcPr>
            <w:tcW w:type="dxa" w:w="1440"/>
          </w:tcPr>
          <w:p>
            <w:r>
              <w:rPr>
                <w:sz w:val="16"/>
              </w:rPr>
              <w:t>p</w:t>
            </w:r>
          </w:p>
        </w:tc>
        <w:tc>
          <w:tcPr>
            <w:tcW w:type="dxa" w:w="1440"/>
          </w:tcPr>
          <w:p>
            <w:r>
              <w:rPr>
                <w:sz w:val="16"/>
              </w:rPr>
              <w:t>50 Pa</w:t>
            </w:r>
          </w:p>
        </w:tc>
        <w:tc>
          <w:tcPr>
            <w:tcW w:type="dxa" w:w="1440"/>
          </w:tcPr>
          <w:p>
            <w:r>
              <w:rPr>
                <w:sz w:val="16"/>
              </w:rPr>
              <w:t>+5.14</w:t>
            </w:r>
          </w:p>
        </w:tc>
        <w:tc>
          <w:tcPr>
            <w:tcW w:type="dxa" w:w="1440"/>
          </w:tcPr>
          <w:p>
            <w:r>
              <w:rPr>
                <w:sz w:val="16"/>
              </w:rPr>
              <w:t>3.21</w:t>
            </w:r>
          </w:p>
        </w:tc>
        <w:tc>
          <w:tcPr>
            <w:tcW w:type="dxa" w:w="1440"/>
          </w:tcPr>
          <w:p>
            <w:r>
              <w:rPr>
                <w:sz w:val="16"/>
              </w:rPr>
              <w:t>+0.63</w:t>
            </w:r>
          </w:p>
        </w:tc>
        <w:tc>
          <w:tcPr>
            <w:tcW w:type="dxa" w:w="1440"/>
          </w:tcPr>
          <w:p>
            <w:r>
              <w:rPr>
                <w:sz w:val="16"/>
              </w:rPr>
              <w:t>3.3%</w:t>
            </w:r>
          </w:p>
        </w:tc>
      </w:tr>
      <w:tr>
        <w:tc>
          <w:tcPr>
            <w:tcW w:type="dxa" w:w="1440"/>
          </w:tcPr>
          <w:p>
            <w:r>
              <w:rPr>
                <w:sz w:val="16"/>
              </w:rPr>
              <w:t>R</w:t>
            </w:r>
          </w:p>
        </w:tc>
        <w:tc>
          <w:tcPr>
            <w:tcW w:type="dxa" w:w="1440"/>
          </w:tcPr>
          <w:p>
            <w:r>
              <w:rPr>
                <w:sz w:val="16"/>
              </w:rPr>
              <w:t>2 mm</w:t>
            </w:r>
          </w:p>
        </w:tc>
        <w:tc>
          <w:tcPr>
            <w:tcW w:type="dxa" w:w="1440"/>
          </w:tcPr>
          <w:p>
            <w:r>
              <w:rPr>
                <w:sz w:val="16"/>
              </w:rPr>
              <w:t>+0.89</w:t>
            </w:r>
          </w:p>
        </w:tc>
        <w:tc>
          <w:tcPr>
            <w:tcW w:type="dxa" w:w="1440"/>
          </w:tcPr>
          <w:p>
            <w:r>
              <w:rPr>
                <w:sz w:val="16"/>
              </w:rPr>
              <w:t>1.53</w:t>
            </w:r>
          </w:p>
        </w:tc>
        <w:tc>
          <w:tcPr>
            <w:tcW w:type="dxa" w:w="1440"/>
          </w:tcPr>
          <w:p>
            <w:r>
              <w:rPr>
                <w:sz w:val="16"/>
              </w:rPr>
              <w:t>+1.63</w:t>
            </w:r>
          </w:p>
        </w:tc>
        <w:tc>
          <w:tcPr>
            <w:tcW w:type="dxa" w:w="1440"/>
          </w:tcPr>
          <w:p>
            <w:r>
              <w:rPr>
                <w:sz w:val="16"/>
              </w:rPr>
              <w:t>0.2%</w:t>
            </w:r>
          </w:p>
        </w:tc>
      </w:tr>
    </w:tbl>
    <w:p>
      <w:r>
        <w:rPr>
          <w:i/>
          <w:sz w:val="18"/>
        </w:rPr>
        <w:t>Table 6.Y: Block A on the circular dome, sorted by effect. Crown height is the half-range of the central difference at one tolerance either side of the nominal, and L_pos the RMS surface displacement from the baseline over interior vertices. Elasticity is the relative change in crown height per relative change in the factor, which is what makes six parameters in six different units comparable. Asymmetry is the difference between the two signs as a fraction of the first difference; under 15% the response may be rescaled to a different tolerance rather than re-run. Figure 6.31 gives the same responses as a function of tolerance magnitude.</w:t>
      </w:r>
    </w:p>
    <w:p>
      <w:pPr>
        <w:jc w:val="both"/>
      </w:pPr>
      <w:r>
        <w:t>The predicted spread with all six factors at one tolerance is 32.2 mm RSS in crown height, 19.6% of the 164.2 mm the dome rises, and 60.9 mm if every error happens to align. Three things in the table are worth drawing out.</w:t>
      </w:r>
    </w:p>
    <w:p>
      <w:pPr>
        <w:jc w:val="both"/>
      </w:pPr>
      <w:r>
        <w:t>s_course dominates, at 2.7 times the next factor, because the course direction is the stiff one — E2 is 2.5 times E1 — so pre-strain applied along it does the most work. It is also the factor whose tolerance is the least well known, which is where the uncertainty in this study sits.</w:t>
      </w:r>
    </w:p>
    <w:p>
      <w:pPr>
        <w:jc w:val="both"/>
      </w:pPr>
      <w:r>
        <w:t>R has the second-largest elasticity at +1.63, behind only s_course and ahead of both moduli — the crown responds strongly to a relative change in boundary radius, and Figure 6.31 shows it steeper still than s_course when the two are given the same relative error — and yet it has the smallest effect of the six here, purely because its tolerance is tight: 0.33% of the nominal against 4.5 to 10% for the others. It is a factor worth anchoring precisely rather than one that does not matter, and the distinction is only visible because elasticity and effect are reported separately. It is also the factor most sensitive to the tolerance being right: the ±2 mm of 5.5.2 replaced an earlier assumption of 5 mm taken from screw spacing, and the row shrank in proportion, the response being linear to 0.2%.</w:t>
      </w:r>
    </w:p>
    <w:p>
      <w:pPr>
        <w:jc w:val="both"/>
      </w:pPr>
      <w:r>
        <w:t>The six factors are very nearly degenerate on this geometry. The median absolute cosine between their displacement fields is 0.996 off the diagonal, and p / E1 sit at -1.000. They excite one and the same axisymmetric inflation mode, differing in sign and amplitude but not in shape. Two consequences follow. A measured deviation cannot be attributed to a factor by this block, only bounded in size; attribution needs a geometry on which the fields separate. And a joint sampling of all six would give a broad, right-skewed distribution of L_pos with a mean below the RSS, because near-parallel contributions add and cancel algebraically. The crown-height RSS is unaffected by this: for a scalar output RSS is correct whenever the factor errors are independent, whatever the shape of the response.</w:t>
      </w:r>
    </w:p>
    <w:p>
      <w:pPr>
        <w:pStyle w:val="Heading3"/>
      </w:pPr>
      <w:r>
        <w:t>The creased shell, as designed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factor</w:t>
            </w:r>
          </w:p>
        </w:tc>
        <w:tc>
          <w:tcPr>
            <w:tcW w:type="dxa" w:w="1440"/>
          </w:tcPr>
          <w:p>
            <w:r>
              <w:rPr>
                <w:b/>
                <w:sz w:val="16"/>
              </w:rPr>
              <w:t>one tolerance</w:t>
            </w:r>
          </w:p>
        </w:tc>
        <w:tc>
          <w:tcPr>
            <w:tcW w:type="dxa" w:w="1440"/>
          </w:tcPr>
          <w:p>
            <w:r>
              <w:rPr>
                <w:b/>
                <w:sz w:val="16"/>
              </w:rPr>
              <w:t>crown height (mm)</w:t>
            </w:r>
          </w:p>
        </w:tc>
        <w:tc>
          <w:tcPr>
            <w:tcW w:type="dxa" w:w="1440"/>
          </w:tcPr>
          <w:p>
            <w:r>
              <w:rPr>
                <w:b/>
                <w:sz w:val="16"/>
              </w:rPr>
              <w:t>surface, L_pos (mm)</w:t>
            </w:r>
          </w:p>
        </w:tc>
        <w:tc>
          <w:tcPr>
            <w:tcW w:type="dxa" w:w="1440"/>
          </w:tcPr>
          <w:p>
            <w:r>
              <w:rPr>
                <w:b/>
                <w:sz w:val="16"/>
              </w:rPr>
              <w:t>elasticity</w:t>
            </w:r>
          </w:p>
        </w:tc>
        <w:tc>
          <w:tcPr>
            <w:tcW w:type="dxa" w:w="1440"/>
          </w:tcPr>
          <w:p>
            <w:r>
              <w:rPr>
                <w:b/>
                <w:sz w:val="16"/>
              </w:rPr>
              <w:t>asymmetry</w:t>
            </w:r>
          </w:p>
        </w:tc>
      </w:tr>
      <w:tr>
        <w:tc>
          <w:tcPr>
            <w:tcW w:type="dxa" w:w="1440"/>
          </w:tcPr>
          <w:p>
            <w:r>
              <w:rPr>
                <w:sz w:val="16"/>
              </w:rPr>
              <w:t>s_course</w:t>
            </w:r>
          </w:p>
        </w:tc>
        <w:tc>
          <w:tcPr>
            <w:tcW w:type="dxa" w:w="1440"/>
          </w:tcPr>
          <w:p>
            <w:r>
              <w:rPr>
                <w:sz w:val="16"/>
              </w:rPr>
              <w:t>0.05</w:t>
            </w:r>
          </w:p>
        </w:tc>
        <w:tc>
          <w:tcPr>
            <w:tcW w:type="dxa" w:w="1440"/>
          </w:tcPr>
          <w:p>
            <w:r>
              <w:rPr>
                <w:sz w:val="16"/>
              </w:rPr>
              <w:t>-18.14</w:t>
            </w:r>
          </w:p>
        </w:tc>
        <w:tc>
          <w:tcPr>
            <w:tcW w:type="dxa" w:w="1440"/>
          </w:tcPr>
          <w:p>
            <w:r>
              <w:rPr>
                <w:sz w:val="16"/>
              </w:rPr>
              <w:t>14.47</w:t>
            </w:r>
          </w:p>
        </w:tc>
        <w:tc>
          <w:tcPr>
            <w:tcW w:type="dxa" w:w="1440"/>
          </w:tcPr>
          <w:p>
            <w:r>
              <w:rPr>
                <w:sz w:val="16"/>
              </w:rPr>
              <w:t>-0.92</w:t>
            </w:r>
          </w:p>
        </w:tc>
        <w:tc>
          <w:tcPr>
            <w:tcW w:type="dxa" w:w="1440"/>
          </w:tcPr>
          <w:p>
            <w:r>
              <w:rPr>
                <w:sz w:val="16"/>
              </w:rPr>
              <w:t>3.8%</w:t>
            </w:r>
          </w:p>
        </w:tc>
      </w:tr>
      <w:tr>
        <w:tc>
          <w:tcPr>
            <w:tcW w:type="dxa" w:w="1440"/>
          </w:tcPr>
          <w:p>
            <w:r>
              <w:rPr>
                <w:sz w:val="16"/>
              </w:rPr>
              <w:t>s_wale</w:t>
            </w:r>
          </w:p>
        </w:tc>
        <w:tc>
          <w:tcPr>
            <w:tcW w:type="dxa" w:w="1440"/>
          </w:tcPr>
          <w:p>
            <w:r>
              <w:rPr>
                <w:sz w:val="16"/>
              </w:rPr>
              <w:t>0.05</w:t>
            </w:r>
          </w:p>
        </w:tc>
        <w:tc>
          <w:tcPr>
            <w:tcW w:type="dxa" w:w="1440"/>
          </w:tcPr>
          <w:p>
            <w:r>
              <w:rPr>
                <w:sz w:val="16"/>
              </w:rPr>
              <w:t>-5.95</w:t>
            </w:r>
          </w:p>
        </w:tc>
        <w:tc>
          <w:tcPr>
            <w:tcW w:type="dxa" w:w="1440"/>
          </w:tcPr>
          <w:p>
            <w:r>
              <w:rPr>
                <w:sz w:val="16"/>
              </w:rPr>
              <w:t>5.85</w:t>
            </w:r>
          </w:p>
        </w:tc>
        <w:tc>
          <w:tcPr>
            <w:tcW w:type="dxa" w:w="1440"/>
          </w:tcPr>
          <w:p>
            <w:r>
              <w:rPr>
                <w:sz w:val="16"/>
              </w:rPr>
              <w:t>-0.41</w:t>
            </w:r>
          </w:p>
        </w:tc>
        <w:tc>
          <w:tcPr>
            <w:tcW w:type="dxa" w:w="1440"/>
          </w:tcPr>
          <w:p>
            <w:r>
              <w:rPr>
                <w:sz w:val="16"/>
              </w:rPr>
              <w:t>2.1%</w:t>
            </w:r>
          </w:p>
        </w:tc>
      </w:tr>
      <w:tr>
        <w:tc>
          <w:tcPr>
            <w:tcW w:type="dxa" w:w="1440"/>
          </w:tcPr>
          <w:p>
            <w:r>
              <w:rPr>
                <w:sz w:val="16"/>
              </w:rPr>
              <w:t>E1</w:t>
            </w:r>
          </w:p>
        </w:tc>
        <w:tc>
          <w:tcPr>
            <w:tcW w:type="dxa" w:w="1440"/>
          </w:tcPr>
          <w:p>
            <w:r>
              <w:rPr>
                <w:sz w:val="16"/>
              </w:rPr>
              <w:t>500 N/m</w:t>
            </w:r>
          </w:p>
        </w:tc>
        <w:tc>
          <w:tcPr>
            <w:tcW w:type="dxa" w:w="1440"/>
          </w:tcPr>
          <w:p>
            <w:r>
              <w:rPr>
                <w:sz w:val="16"/>
              </w:rPr>
              <w:t>-1.66</w:t>
            </w:r>
          </w:p>
        </w:tc>
        <w:tc>
          <w:tcPr>
            <w:tcW w:type="dxa" w:w="1440"/>
          </w:tcPr>
          <w:p>
            <w:r>
              <w:rPr>
                <w:sz w:val="16"/>
              </w:rPr>
              <w:t>2.57</w:t>
            </w:r>
          </w:p>
        </w:tc>
        <w:tc>
          <w:tcPr>
            <w:tcW w:type="dxa" w:w="1440"/>
          </w:tcPr>
          <w:p>
            <w:r>
              <w:rPr>
                <w:sz w:val="16"/>
              </w:rPr>
              <w:t>-0.04</w:t>
            </w:r>
          </w:p>
        </w:tc>
        <w:tc>
          <w:tcPr>
            <w:tcW w:type="dxa" w:w="1440"/>
          </w:tcPr>
          <w:p>
            <w:r>
              <w:rPr>
                <w:sz w:val="16"/>
              </w:rPr>
              <w:t>19.4%</w:t>
            </w:r>
          </w:p>
        </w:tc>
      </w:tr>
      <w:tr>
        <w:tc>
          <w:tcPr>
            <w:tcW w:type="dxa" w:w="1440"/>
          </w:tcPr>
          <w:p>
            <w:r>
              <w:rPr>
                <w:sz w:val="16"/>
              </w:rPr>
              <w:t>p</w:t>
            </w:r>
          </w:p>
        </w:tc>
        <w:tc>
          <w:tcPr>
            <w:tcW w:type="dxa" w:w="1440"/>
          </w:tcPr>
          <w:p>
            <w:r>
              <w:rPr>
                <w:sz w:val="16"/>
              </w:rPr>
              <w:t>50 Pa</w:t>
            </w:r>
          </w:p>
        </w:tc>
        <w:tc>
          <w:tcPr>
            <w:tcW w:type="dxa" w:w="1440"/>
          </w:tcPr>
          <w:p>
            <w:r>
              <w:rPr>
                <w:sz w:val="16"/>
              </w:rPr>
              <w:t>+0.86</w:t>
            </w:r>
          </w:p>
        </w:tc>
        <w:tc>
          <w:tcPr>
            <w:tcW w:type="dxa" w:w="1440"/>
          </w:tcPr>
          <w:p>
            <w:r>
              <w:rPr>
                <w:sz w:val="16"/>
              </w:rPr>
              <w:t>1.30</w:t>
            </w:r>
          </w:p>
        </w:tc>
        <w:tc>
          <w:tcPr>
            <w:tcW w:type="dxa" w:w="1440"/>
          </w:tcPr>
          <w:p>
            <w:r>
              <w:rPr>
                <w:sz w:val="16"/>
              </w:rPr>
              <w:t>+0.05</w:t>
            </w:r>
          </w:p>
        </w:tc>
        <w:tc>
          <w:tcPr>
            <w:tcW w:type="dxa" w:w="1440"/>
          </w:tcPr>
          <w:p>
            <w:r>
              <w:rPr>
                <w:sz w:val="16"/>
              </w:rPr>
              <w:t>0.4%</w:t>
            </w:r>
          </w:p>
        </w:tc>
      </w:tr>
      <w:tr>
        <w:tc>
          <w:tcPr>
            <w:tcW w:type="dxa" w:w="1440"/>
          </w:tcPr>
          <w:p>
            <w:r>
              <w:rPr>
                <w:sz w:val="16"/>
              </w:rPr>
              <w:t>E2/E1</w:t>
            </w:r>
          </w:p>
        </w:tc>
        <w:tc>
          <w:tcPr>
            <w:tcW w:type="dxa" w:w="1440"/>
          </w:tcPr>
          <w:p>
            <w:r>
              <w:rPr>
                <w:sz w:val="16"/>
              </w:rPr>
              <w:t>0.250</w:t>
            </w:r>
          </w:p>
        </w:tc>
        <w:tc>
          <w:tcPr>
            <w:tcW w:type="dxa" w:w="1440"/>
          </w:tcPr>
          <w:p>
            <w:r>
              <w:rPr>
                <w:sz w:val="16"/>
              </w:rPr>
              <w:t>-0.79</w:t>
            </w:r>
          </w:p>
        </w:tc>
        <w:tc>
          <w:tcPr>
            <w:tcW w:type="dxa" w:w="1440"/>
          </w:tcPr>
          <w:p>
            <w:r>
              <w:rPr>
                <w:sz w:val="16"/>
              </w:rPr>
              <w:t>0.91</w:t>
            </w:r>
          </w:p>
        </w:tc>
        <w:tc>
          <w:tcPr>
            <w:tcW w:type="dxa" w:w="1440"/>
          </w:tcPr>
          <w:p>
            <w:r>
              <w:rPr>
                <w:sz w:val="16"/>
              </w:rPr>
              <w:t>-0.02</w:t>
            </w:r>
          </w:p>
        </w:tc>
        <w:tc>
          <w:tcPr>
            <w:tcW w:type="dxa" w:w="1440"/>
          </w:tcPr>
          <w:p>
            <w:r>
              <w:rPr>
                <w:sz w:val="16"/>
              </w:rPr>
              <w:t>20.6%</w:t>
            </w:r>
          </w:p>
        </w:tc>
      </w:tr>
      <w:tr>
        <w:tc>
          <w:tcPr>
            <w:tcW w:type="dxa" w:w="1440"/>
          </w:tcPr>
          <w:p>
            <w:r>
              <w:rPr>
                <w:sz w:val="16"/>
              </w:rPr>
              <w:t>R</w:t>
            </w:r>
          </w:p>
        </w:tc>
        <w:tc>
          <w:tcPr>
            <w:tcW w:type="dxa" w:w="1440"/>
          </w:tcPr>
          <w:p>
            <w:r>
              <w:rPr>
                <w:sz w:val="16"/>
              </w:rPr>
              <w:t>2 mm</w:t>
            </w:r>
          </w:p>
        </w:tc>
        <w:tc>
          <w:tcPr>
            <w:tcW w:type="dxa" w:w="1440"/>
          </w:tcPr>
          <w:p>
            <w:r>
              <w:rPr>
                <w:sz w:val="16"/>
              </w:rPr>
              <w:t>+0.10</w:t>
            </w:r>
          </w:p>
        </w:tc>
        <w:tc>
          <w:tcPr>
            <w:tcW w:type="dxa" w:w="1440"/>
          </w:tcPr>
          <w:p>
            <w:r>
              <w:rPr>
                <w:sz w:val="16"/>
              </w:rPr>
              <w:t>1.49</w:t>
            </w:r>
          </w:p>
        </w:tc>
        <w:tc>
          <w:tcPr>
            <w:tcW w:type="dxa" w:w="1440"/>
          </w:tcPr>
          <w:p>
            <w:r>
              <w:rPr>
                <w:sz w:val="16"/>
              </w:rPr>
              <w:t>+0.07</w:t>
            </w:r>
          </w:p>
        </w:tc>
        <w:tc>
          <w:tcPr>
            <w:tcW w:type="dxa" w:w="1440"/>
          </w:tcPr>
          <w:p>
            <w:r>
              <w:rPr>
                <w:sz w:val="16"/>
              </w:rPr>
              <w:t>2.0%</w:t>
            </w:r>
          </w:p>
        </w:tc>
      </w:tr>
    </w:tbl>
    <w:p>
      <w:r>
        <w:rPr>
          <w:i/>
          <w:sz w:val="18"/>
        </w:rPr>
        <w:t>Table 6.Z: Block A on the creased shell as designed - the optimised stretch factors of strategy D with the crease cable - about that equilibrium rather than about the design target. Same columns. E1 at 19.4% and E2/E1 at 20.6% exceed the asymmetry threshold, so those two rows should not be rescaled by hand; the swept curves of Figure 6.31 cover them directly, and both are small in absolute terms. The cable rest length and Poisson's ratio are swept in Figure 6.31 but are not in this table, which reports the six factors of the original block.</w:t>
      </w:r>
    </w:p>
    <w:p>
      <w:pPr>
        <w:jc w:val="both"/>
      </w:pPr>
      <w:r>
        <w:t>The predicted spread is 19.2 mm RSS in crown height, 5.1% of the 379 mm this shell stands, and 16.0 mm RMS over the surface. Against the dome's 19.6% that is a markedly more robust structure, and the cable is most of the reason. Run without it, on a fitted uniform pre-strain, the same shell gives 27.0 mm and 7.0%. A stiffener introduced to resolve the crease also takes the shape out of the fabric's hands, and what the fabric does not control it cannot get wrong.</w:t>
      </w:r>
    </w:p>
    <w:p>
      <w:pPr>
        <w:jc w:val="both"/>
      </w:pPr>
      <w:r>
        <w:t>The same is visible factor by factor. With the cable in place a one percent error in E1 moves the surface 0.26 mm where the cable-free model gave 0.45 mm, and the orthotropy ratio drops from 0.23 to 0.09 mm. The material scatter that Chapter 4 is being asked to pin down matters measurably less to the structure as it is actually designed than to the model that stood in for it.</w:t>
      </w:r>
    </w:p>
    <w:p>
      <w:pPr>
        <w:pStyle w:val="Heading3"/>
      </w:pPr>
      <w:r>
        <w:t>What the cable costs in return</w:t>
      </w:r>
    </w:p>
    <w:p>
      <w:pPr>
        <w:jc w:val="both"/>
      </w:pPr>
      <w:r>
        <w:t>The cable removes sensitivity to the fabric and adds one of its own. Per percent of nominal, its rest length is the second-steepest parameter of the eight, at 3.89 mm against the boundary radius's 4.26 mm, and it is well ahead of s_course at 2.79 mm. The mechanism is not mysterious: the cable is stiff, so where it is short the surface follows it. A one percent error is 13 mm on a 1.32 m cable, which is more than a turnbuckle's resolution and well within what channel seating and anchorage take-up can absorb, so this is a tolerance to specify rather than to assume.</w:t>
      </w:r>
    </w:p>
    <w:p>
      <w:pPr>
        <w:jc w:val="both"/>
      </w:pPr>
      <w:r>
        <w:t>That completes an argument the earlier, cable-free study could only half make. It found that no tolerance moved the shape toward the target and concluded that fabrication was not the binding error. That remains true, but the reason is sharper: the crease was missing because the model had no cable, and once the cable is there the standing mismatch falls from 24.6 mm to 10.3 mm. The residual is what the two-parameter uniform pre-strain cannot express, and it is the parameterisation of Section 6.4, not the workshop, that would have to improve to remove it.</w:t>
      </w:r>
    </w:p>
    <w:p>
      <w:pPr>
        <w:jc w:val="both"/>
      </w:pPr>
      <w:r>
        <w:t>Figures 6.34 and 6.35 are the cable-free control, and are worth keeping for what they diagnose. Without the cable the mismatch is a narrow stripe along x = 0 reaching 91 mm: the target has a sharp crease between its two lobes, and the section through them has the target dipping to 292 mm at the valley while the equilibrium runs flat across at 380 to 385 mm. The tolerance perturbation, by contrast, is a broad smooth mode that lifts or drops the whole cap by about 20 mm and does nothing at the valley — the cosine between the two fields is +0.006. No tolerance moves that shape toward its target, because the feature it is missing is not something a tolerance controls.</w:t>
      </w:r>
    </w:p>
    <w:p>
      <w:pPr>
        <w:jc w:val="both"/>
      </w:pPr>
      <w:r>
        <w:t>Figure 6.35 says why, and corrects the obvious reading. The natural conclusion from the saturated anisotropic fit is that a uniform two-parameter pre-strain is too poor a parameterisation to form a crease. That is not what happened. The target was form-found with a tie along the valley — the force densities of the form-finding carry a stiff line exactly along x = 0 — and the finite-element model has no cable there. The stiff line of the form finding and the stripe of the mismatch are the same line. The crease is missing from the simulation because the element that creates it was not carried across from the form finding, not because the stretch-factor field is too coarse to express it. The fix is to model the valley tie, and only then to ask whether the parameterisation is rich enough.</w:t>
      </w:r>
    </w:p>
    <w:p>
      <w:pPr>
        <w:jc w:val="both"/>
      </w:pPr>
      <w:r>
        <w:t>One further caution on reading the table for this geometry. L_target is stationary in the stretch factors at the nominal, because the nominal is a fitted minimum: both signs make it worse, by 4.84 and 4.89 mm. A central difference at an optimum is second order and therefore near zero and meaningless, so the analysis reports the increase instead. In the directions that were never fitted — E1, p and R — one sign does improve L_target, as it should.</w:t>
      </w:r>
    </w:p>
    <w:p>
      <w:pPr>
        <w:pStyle w:val="Heading3"/>
      </w:pPr>
      <w:r>
        <w:t>What this establishes, and what it does not</w:t>
      </w:r>
    </w:p>
    <w:p>
      <w:pPr>
        <w:jc w:val="both"/>
      </w:pPr>
      <w:r>
        <w:t>Within the tolerances assumed, construction imprecision moves the crown height by about 20% on the dome and 5% on the case study as designed, and the surface by 20 and 16 mm RMS respectively. Set against the 10.3 mm the designed equilibrium already stands from its target, the tolerances are comparable rather than negligible — which is a different conclusion from the one the cable-free study reached, and a more useful one, because it says the two now deserve attention together rather than the model alone.</w:t>
      </w:r>
    </w:p>
    <w:p>
      <w:pPr>
        <w:jc w:val="both"/>
      </w:pPr>
      <w:r>
        <w:t>Three limits should be stated with equal clarity. All six tolerances are estimates; none is yet backed by a measurement, and the dominant one, the stretch factor, is the one with no measurement behind it at all. Replacing an estimate does not require re-running provided the response is linear over the tolerance, which the block checks by the asymmetry between the plus and minus responses: on the dome the worst is 13.4% (E1), inside the 15% threshold, so the responses rescale; on the creased shell E2/E1 reaches 20.6% and E2/E1 15.2%, so those two rows do not rescale safely and want a smaller-delta re-run once the material scatter is known. The stretch-factor rows, at 1.5 to 2.8%, are solidly linear on both — which is the important case, since that is the estimate most likely to be revised.</w:t>
      </w:r>
    </w:p>
    <w:p>
      <w:pPr>
        <w:jc w:val="both"/>
      </w:pPr>
      <w:r>
        <w:t>The perturbations here are uniform: a single stretch factor wrong everywhere, a single radius wrong everywhere. Real imprecision is also non-uniform, and the two need not have the same effect. The boundary makes the point sharply. The ±2 mm of 5.5.2 is an anchoring tolerance, and an anchoring error that varies around the ring is not a change of radius at all; entering it as a uniform radial error, as here, captures only its mean. The reference mesh shows the rest is not negligible: its boundary vertices run between 597.8 and 600.0 mm, a 2.2 mm out-of-round span at 0.58 mm standard deviation — 110% of the 2 mm tolerance being tested, so the nominal baseline already carries a non-uniform boundary imperfection larger than the uniform one under test. A dedicated out-of-round study is therefore worth more than tightening delta_R, and it has to be measured against this mesh's existing scatter rather than against a perfect circle.</w:t>
      </w:r>
    </w:p>
    <w:p>
      <w:pPr>
        <w:jc w:val="both"/>
      </w:pPr>
      <w:r>
        <w:t>And this is one geometry perturbed one factor at a time about a single-region, cable-free model. The case study of Section 6.4.6 is multi-region and carries cables, whose rest length is a tolerance of its own and a quantised one, set by the resolution of a turnbuckle rather than by a Gaussian. Independent per-region draws, and a joint sampling that lets the factors interfere, remain to be run.</w:t>
      </w:r>
    </w:p>
    <w:p>
      <w:pPr>
        <w:jc w:val="center"/>
      </w:pPr>
      <w:r>
        <w:drawing>
          <wp:inline xmlns:a="http://schemas.openxmlformats.org/drawingml/2006/main" xmlns:pic="http://schemas.openxmlformats.org/drawingml/2006/picture">
            <wp:extent cx="5669280" cy="4124862"/>
            <wp:docPr id="1" name="Picture 1"/>
            <wp:cNvGraphicFramePr>
              <a:graphicFrameLocks noChangeAspect="1"/>
            </wp:cNvGraphicFramePr>
            <a:graphic>
              <a:graphicData uri="http://schemas.openxmlformats.org/drawingml/2006/picture">
                <pic:pic>
                  <pic:nvPicPr>
                    <pic:cNvPr id="0" name="tolerance_percent.png"/>
                    <pic:cNvPicPr/>
                  </pic:nvPicPr>
                  <pic:blipFill>
                    <a:blip r:embed="rId9"/>
                    <a:stretch>
                      <a:fillRect/>
                    </a:stretch>
                  </pic:blipFill>
                  <pic:spPr>
                    <a:xfrm>
                      <a:off x="0" y="0"/>
                      <a:ext cx="5669280" cy="4124862"/>
                    </a:xfrm>
                    <a:prstGeom prst="rect"/>
                  </pic:spPr>
                </pic:pic>
              </a:graphicData>
            </a:graphic>
          </wp:inline>
        </w:drawing>
      </w:r>
    </w:p>
    <w:p>
      <w:r>
        <w:rPr>
          <w:i/>
          <w:sz w:val="18"/>
        </w:rPr>
        <w:t>Figure 6.31: Deviation from the designed equilibrium against how wrong each parameter is, 0 to 2% of nominal for the material and pre-strain parameters in (a) and (b), and 0 to 20 mm for the two that are set as lengths in (c) and (d) — a boundary ring is anchored to a distance and a cable is cut and taken up by one, so a percentage of nominal is a detour through a number nobody sets. The dotted line in (c) and (d) is the ±2 mm of 5.5.2. Curves are the worse of the two signs at each magnitude, and are linear throughout, so a response may be read at whatever tolerance the measurements eventually give. 180 solves across the two geometries.</w:t>
      </w:r>
    </w:p>
    <w:p>
      <w:pPr>
        <w:jc w:val="center"/>
      </w:pPr>
      <w:r>
        <w:drawing>
          <wp:inline xmlns:a="http://schemas.openxmlformats.org/drawingml/2006/main" xmlns:pic="http://schemas.openxmlformats.org/drawingml/2006/picture">
            <wp:extent cx="5669280" cy="3926801"/>
            <wp:docPr id="2" name="Picture 2"/>
            <wp:cNvGraphicFramePr>
              <a:graphicFrameLocks noChangeAspect="1"/>
            </wp:cNvGraphicFramePr>
            <a:graphic>
              <a:graphicData uri="http://schemas.openxmlformats.org/drawingml/2006/picture">
                <pic:pic>
                  <pic:nvPicPr>
                    <pic:cNvPr id="0" name="blockA_disc_sensitivity.png"/>
                    <pic:cNvPicPr/>
                  </pic:nvPicPr>
                  <pic:blipFill>
                    <a:blip r:embed="rId10"/>
                    <a:stretch>
                      <a:fillRect/>
                    </a:stretch>
                  </pic:blipFill>
                  <pic:spPr>
                    <a:xfrm>
                      <a:off x="0" y="0"/>
                      <a:ext cx="5669280" cy="3926801"/>
                    </a:xfrm>
                    <a:prstGeom prst="rect"/>
                  </pic:spPr>
                </pic:pic>
              </a:graphicData>
            </a:graphic>
          </wp:inline>
        </w:drawing>
      </w:r>
    </w:p>
    <w:p>
      <w:r>
        <w:rPr>
          <w:i/>
          <w:sz w:val="18"/>
        </w:rPr>
        <w:t>Figure 6.32: Block A on the circular dome. (a) Crown-height response to plus and minus one tolerance, sorted by effect. (b) Surface deviation L_pos, with the two signs shown separately as ticks. (c) Asymmetry between the two signs, against the 15% linearity threshold. (d) Pairwise cosine between the per-factor displacement fields: the six are nearly the same mode, and p and E1 are exactly opposed.</w:t>
      </w:r>
    </w:p>
    <w:p>
      <w:pPr>
        <w:jc w:val="center"/>
      </w:pPr>
      <w:r>
        <w:drawing>
          <wp:inline xmlns:a="http://schemas.openxmlformats.org/drawingml/2006/main" xmlns:pic="http://schemas.openxmlformats.org/drawingml/2006/picture">
            <wp:extent cx="5669280" cy="3926801"/>
            <wp:docPr id="3" name="Picture 3"/>
            <wp:cNvGraphicFramePr>
              <a:graphicFrameLocks noChangeAspect="1"/>
            </wp:cNvGraphicFramePr>
            <a:graphic>
              <a:graphicData uri="http://schemas.openxmlformats.org/drawingml/2006/picture">
                <pic:pic>
                  <pic:nvPicPr>
                    <pic:cNvPr id="0" name="blockA_2part_sensitivity.png"/>
                    <pic:cNvPicPr/>
                  </pic:nvPicPr>
                  <pic:blipFill>
                    <a:blip r:embed="rId11"/>
                    <a:stretch>
                      <a:fillRect/>
                    </a:stretch>
                  </pic:blipFill>
                  <pic:spPr>
                    <a:xfrm>
                      <a:off x="0" y="0"/>
                      <a:ext cx="5669280" cy="3926801"/>
                    </a:xfrm>
                    <a:prstGeom prst="rect"/>
                  </pic:spPr>
                </pic:pic>
              </a:graphicData>
            </a:graphic>
          </wp:inline>
        </w:drawing>
      </w:r>
    </w:p>
    <w:p>
      <w:r>
        <w:rPr>
          <w:i/>
          <w:sz w:val="18"/>
        </w:rPr>
        <w:t>Figure 6.33: Block A on the creased shell, the same four panels. The ordering of the factors is the dome's with one swap, but E1 and E2/E1 exceed the linearity threshold here, so those two rows do not rescale to a different tolerance.</w:t>
      </w:r>
    </w:p>
    <w:p>
      <w:pPr>
        <w:jc w:val="center"/>
      </w:pPr>
      <w:r>
        <w:drawing>
          <wp:inline xmlns:a="http://schemas.openxmlformats.org/drawingml/2006/main" xmlns:pic="http://schemas.openxmlformats.org/drawingml/2006/picture">
            <wp:extent cx="5669280" cy="4694593"/>
            <wp:docPr id="4" name="Picture 4"/>
            <wp:cNvGraphicFramePr>
              <a:graphicFrameLocks noChangeAspect="1"/>
            </wp:cNvGraphicFramePr>
            <a:graphic>
              <a:graphicData uri="http://schemas.openxmlformats.org/drawingml/2006/picture">
                <pic:pic>
                  <pic:nvPicPr>
                    <pic:cNvPr id="0" name="blockA_2part_shape.png"/>
                    <pic:cNvPicPr/>
                  </pic:nvPicPr>
                  <pic:blipFill>
                    <a:blip r:embed="rId12"/>
                    <a:stretch>
                      <a:fillRect/>
                    </a:stretch>
                  </pic:blipFill>
                  <pic:spPr>
                    <a:xfrm>
                      <a:off x="0" y="0"/>
                      <a:ext cx="5669280" cy="4694593"/>
                    </a:xfrm>
                    <a:prstGeom prst="rect"/>
                  </pic:spPr>
                </pic:pic>
              </a:graphicData>
            </a:graphic>
          </wp:inline>
        </w:drawing>
      </w:r>
    </w:p>
    <w:p>
      <w:r>
        <w:rPr>
          <w:i/>
          <w:sz w:val="18"/>
        </w:rPr>
        <w:t>Figure 6.34: Where the tolerance shows up, rather than how much. (a) The standing mismatch between the baseline equilibrium and the design target is a narrow stripe along the valley. (b) The dominant tolerance moves the whole cap smoothly and does nothing at the valley. (c) The section through the lobes: the target creases to 292 mm where the equilibrium runs flat at 380 to 385 mm. (d) The section through the saddle, where the perturbation acts and the mismatch does not.</w:t>
      </w:r>
    </w:p>
    <w:p>
      <w:pPr>
        <w:jc w:val="center"/>
      </w:pPr>
      <w:r>
        <w:drawing>
          <wp:inline xmlns:a="http://schemas.openxmlformats.org/drawingml/2006/main" xmlns:pic="http://schemas.openxmlformats.org/drawingml/2006/picture">
            <wp:extent cx="5669280" cy="1827384"/>
            <wp:docPr id="5" name="Picture 5"/>
            <wp:cNvGraphicFramePr>
              <a:graphicFrameLocks noChangeAspect="1"/>
            </wp:cNvGraphicFramePr>
            <a:graphic>
              <a:graphicData uri="http://schemas.openxmlformats.org/drawingml/2006/picture">
                <pic:pic>
                  <pic:nvPicPr>
                    <pic:cNvPr id="0" name="2part_target_diagnosis.png"/>
                    <pic:cNvPicPr/>
                  </pic:nvPicPr>
                  <pic:blipFill>
                    <a:blip r:embed="rId13"/>
                    <a:stretch>
                      <a:fillRect/>
                    </a:stretch>
                  </pic:blipFill>
                  <pic:spPr>
                    <a:xfrm>
                      <a:off x="0" y="0"/>
                      <a:ext cx="5669280" cy="1827384"/>
                    </a:xfrm>
                    <a:prstGeom prst="rect"/>
                  </pic:spPr>
                </pic:pic>
              </a:graphicData>
            </a:graphic>
          </wp:inline>
        </w:drawing>
      </w:r>
    </w:p>
    <w:p>
      <w:r>
        <w:rPr>
          <w:i/>
          <w:sz w:val="18"/>
        </w:rPr>
        <w:t>Figure 6.35: The standing mismatch is a missing valley tie, not a limit of the parameterisation. (a) The force densities of the form finding carry a stiff line along x = 0. (b) The finite-element model has no cable there, so the crease never forms. (c) The stiff line and the mismatch are the same line.</w:t>
      </w:r>
    </w:p>
    <w:p>
      <w:r>
        <w:br w:type="page"/>
      </w:r>
    </w:p>
    <w:p>
      <w:pPr>
        <w:pStyle w:val="Heading2"/>
      </w:pPr>
      <w:r>
        <w:t>Notes for revision — not part of the section</w:t>
      </w:r>
    </w:p>
    <w:p>
      <w:pPr>
        <w:pStyle w:val="ListBullet"/>
      </w:pPr>
      <w:r>
        <w:t>Every number above is read from the Block A outputs by build_section_6_5_3.py: the per-factor responses from data/block_A_{disc,2part}_sensitivity.csv, and the spreads, cosines and out-of-round figures from data/block_A_overlap.json, itself produced by analyse_block_A.py --check-overlap and plot_shape.py. Re-run those and rebuild and the section follows.</w:t>
      </w:r>
    </w:p>
    <w:p>
      <w:pPr>
        <w:pStyle w:val="ListBullet"/>
      </w:pPr>
      <w:r>
        <w:t>1. The tolerances are estimates, and the provenance table now names the mechanism behind each rather than a bare magnitude. Three are one step from being measured rather than assumed. The stretch-factor tolerance needs the measured stitch-size scatter converted into a factor deviation by accumulation over a panel — arithmetic on Chapter 4 data, not a new experiment, and the largest single improvement available to this study. E1 and E2/E1 need Chapter 4's reported spread across repeats and yarn batches in place of the assumed 10%, and they should be drawn from the measured covariance rather than independently, since the ratio inherits the scatter of both moduli. The pressure band should come from the 6.1.2 sensor record.</w:t>
      </w:r>
    </w:p>
    <w:p>
      <w:pPr>
        <w:pStyle w:val="ListBullet"/>
      </w:pPr>
      <w:r>
        <w:t>1a. delta_R has already changed on this basis, from 5 mm assumed from screw spacing to the ±2 mm that 5.5.2 gives, and Block A was re-run rather than rescaled. The effect is small — the crown-height RSS moves from 32.25 to 32.18 mm on the dome and from 27.00 to 26.99 mm on the creased shell — because R was already the smallest contributor. The consequence that does matter is for the out-of-round argument, since the reference mesh's own scatter is now larger than the tolerance rather than a fifth of it.</w:t>
      </w:r>
    </w:p>
    <w:p>
      <w:pPr>
        <w:pStyle w:val="ListBullet"/>
      </w:pPr>
      <w:r>
        <w:t>2. Two scripts disagree about the standing mismatch. analyse_block_A.py reports L_target = 24.59 mm; plot_shape.py prints 20.65 mm RMS for what reads as the same quantity. The difference is that plot_shape averages over all vertices while the analysis restricts to interior ones, and the clamped boundary deflates the former. The section uses 24.59 mm. Worth making plot_shape mask the boundary so the two agree.</w:t>
      </w:r>
    </w:p>
    <w:p>
      <w:pPr>
        <w:pStyle w:val="ListBullet"/>
      </w:pPr>
      <w:r>
        <w:t>3. Figure numbers 6.31 to 6.35 are provisional and assume 6.29 and 6.30 belong to Section 6.5.1.</w:t>
      </w:r>
    </w:p>
    <w:p>
      <w:pPr>
        <w:pStyle w:val="ListBullet"/>
      </w:pPr>
      <w:r>
        <w:t>4. Blocks B to E are not built. B adds Poisson's ratio and cable rest length at the case-study optimum and needs the n-region binary; C draws per-region and per-cable independently; D samples jointly and reports the distribution of L_pos against the RSS predicted here; E repeats B on a second geometry. Block A already answers part of E's question — the dominant tolerance is s_course on both geometries — so E is testing whether that survives cables and regions.</w:t>
      </w:r>
    </w:p>
    <w:p>
      <w:pPr>
        <w:pStyle w:val="ListBullet"/>
      </w:pPr>
      <w:r>
        <w:t>5. Section 6.4 currently gives one scan, so comparing a measured deviation against this predicted spread compares a distribution with a point. Two specimens from the same knit programme, or one specimen re-scanned after re-inflation, would make the comparison two-sided.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