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and costs seconds: on the shell with openings the force density optimisation takes 9.3 s and the directional field 18.6 s, against the hours the inverse problem takes on the same mesh. The question is therefore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not recorded</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not recorded</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not recorded</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For the free-form shell, the fluted dome and the single-region fit it is the median over twenty-five design points about the optimum, each a cold solve. For the three region-scheme runs it is the median over the recorded run. Wall clocks marked not recorded were lost when the output files were rewritten.</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force density stage of Section 6.2 solves for one force density per edge — 2410 design variables — and converges in 1173 L-BFGS-B iterations and 9.3 s, a mean of 7.9 ms per iteration.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force density network against 0.66 s for the membrane, a factor of about 97. That gap is intrinsic to the physics being solved. The force density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The force density stage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force density stage of this same workflow already uses, and it is the one change that would lift the ceiling on the number of design variables rather than merely lower the cost of the present ones.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now instrumented to report and store its elapsed time, iteration count and design dimension,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absent from the table because its executable initialises Polyscope and needs a display; its solve count was never recorded. It can be added by running build-linux/best_fit_stretch_factors_3region_adaptive on a machine with a display, or by removing the visualisation calls.</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measured for the shell with openings only. The equivalent stage for the free-form shell and the fluted dome (FDM/fofin_B5.py, FDM/fofin_C5_smooth.py) is unmeasured, because those two scripts import compas, which is not installed on the timing machine. Both are one-shot stages of the same kind and should be seconds, but the claim in the opening paragraph rests on one geometry. The remeshing and cable-extraction steps are also unmeasured.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