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5040"/>
        </w:tabs>
        <w:spacing w:line="288" w:lineRule="auto"/>
        <w:ind w:left="0" w:right="0" w:firstLine="0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36"/>
          <w:szCs w:val="36"/>
          <w:rtl w:val="0"/>
        </w:rPr>
        <w:t xml:space="preserve">Writing your conclusion</w:t>
      </w: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5476875</wp:posOffset>
            </wp:positionH>
            <wp:positionV relativeFrom="paragraph">
              <wp:posOffset>228600</wp:posOffset>
            </wp:positionV>
            <wp:extent cx="922681" cy="1204913"/>
            <wp:effectExtent b="0" l="0" r="0" t="0"/>
            <wp:wrapSquare wrapText="bothSides" distB="228600" distT="228600" distL="228600" distR="2286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681" cy="120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88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To create a good conclusion, you have your structure of results + solution, but you should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reflect back on your work and look ahead to what you could do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 would I have done differently?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If you could do the project again, would you go about it exactly the same way?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Has this brought up any new ideas or insights?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Is there something else you want to explore? Did the results also give a new and interesting understanding? Has feedback from peers provided new insights?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What are my next steps?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What are you going to do next? Prioritizing steps is a good way to make sure they actually happen!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ind w:right="-117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left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5490"/>
        </w:tabs>
        <w:spacing w:line="288" w:lineRule="auto"/>
        <w:ind w:left="0" w:right="-90" w:firstLine="0"/>
        <w:jc w:val="left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tbl>
    <w:tblPr>
      <w:tblStyle w:val="Table1"/>
      <w:tblW w:w="10335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45"/>
      <w:gridCol w:w="3445"/>
      <w:gridCol w:w="3445"/>
      <w:tblGridChange w:id="0">
        <w:tblGrid>
          <w:gridCol w:w="3445"/>
          <w:gridCol w:w="3445"/>
          <w:gridCol w:w="344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3">
          <w:pPr>
            <w:spacing w:line="240" w:lineRule="auto"/>
            <w:ind w:left="0" w:firstLine="0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6. Draw conclusions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4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09713" cy="4411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5">
          <w:pPr>
            <w:spacing w:line="240" w:lineRule="auto"/>
            <w:ind w:left="0" w:right="-75" w:firstLine="0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 Activity 2</w:t>
          </w:r>
        </w:p>
      </w:tc>
    </w:tr>
  </w:tbl>
  <w:p w:rsidR="00000000" w:rsidDel="00000000" w:rsidP="00000000" w:rsidRDefault="00000000" w:rsidRPr="00000000" w14:paraId="00000026">
    <w:pPr>
      <w:ind w:right="0"/>
      <w:jc w:val="both"/>
      <w:rPr>
        <w:rFonts w:ascii="Google Sans" w:cs="Google Sans" w:eastAsia="Google Sans" w:hAnsi="Google Sans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