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ind w:firstLineChars="800" w:firstLine="1680"/>
      </w:pPr>
      <w:r>
        <w:t>金链</w:t>
      </w:r>
      <w:r>
        <w:rPr>
          <w:rFonts w:hint="eastAsia"/>
        </w:rPr>
        <w:t>·</w:t>
      </w:r>
      <w:r>
        <w:t>GYC法币锚定金银结算系统-白皮书</w:t>
      </w:r>
    </w:p>
    <w:p>
      <w:r>
        <w:t xml:space="preserve"> </w:t>
      </w:r>
    </w:p>
    <w:p>
      <w:r>
        <w:t>摘要：本白皮书提出一套半去中心化、以黄金白银克数为价值锚定的法币结算与增值系统。系统依托自主创新的金链架构，采用半公开数据+哈希不可篡改技术，实现交易可验、数据可信、运行可控。系统坚持实名制、资金来源劳动经营合法、全面服务实体经济，用户法币本金可全额随时提现，增值部分仅在平台生态内支付、转账、流通，存储使用等，增值部份不可提现。系统后续同时规划分层区域链资产上链体系，可将实体资产完成链上确权与流通，应用于多元实体场景；后续还将拓展多元娱乐生态场景，构建覆盖实体消费的全链路价值网络。系统阐述项目背景、架构设计、金银锚定规则、结算流通、资产金字塔排名、安全风控、合规运营、多场景应用等内容，构建一套稳定、合规、普惠、可长期运行的新一代价值流通</w:t>
      </w:r>
    </w:p>
    <w:p>
      <w:r>
        <w:t>体系。</w:t>
      </w:r>
    </w:p>
    <w:p>
      <w:r>
        <w:t>一、项目背景与核心问题</w:t>
      </w:r>
    </w:p>
    <w:p>
      <w:r>
        <w:t xml:space="preserve"> </w:t>
      </w:r>
    </w:p>
    <w:p>
      <w:r>
        <w:t>当前全球法币体系长期面临诸多问题、如通胀压力叠加经济波动带来的不确定性，普通用户资产保值增值困难，传统金融结算环节多、效率低、成本高，难以满足现代商业与个人高效流通需求。现有数字资产领域多为纯去中心化模式，缺乏合规监管与真实价值支撑；且与实体经济脱节，无法真正服务生产、经营、日常流通。市场亟需一种锚定硬通货、合规、可控、可追溯、完全服务实体的新型结算系统，让合法所得资金安全、稳定、高效地运行与增值。</w:t>
      </w:r>
    </w:p>
    <w:p>
      <w:r>
        <w:t>二、系统定位与核心优势</w:t>
      </w:r>
    </w:p>
    <w:p>
      <w:r>
        <w:t xml:space="preserve"> </w:t>
      </w:r>
    </w:p>
    <w:p>
      <w:r>
        <w:t>本系统定位为半去中心化法币锚定金银结算系统，以黄金、白银克数作为价值基准，坚持实名制与合规化运行。系统核心优势在于真实价值锚定、技术可信可控、资金来源可溯、全程服务实体经济，既解决法币贬值问题，又避免无序化、不可监管的运行风险，为个人与商家提供安全、透明、稳定的价值管理与流通工具。</w:t>
      </w:r>
    </w:p>
    <w:p>
      <w:r>
        <w:t>三、半去中心化金链架构设计</w:t>
      </w:r>
    </w:p>
    <w:p>
      <w:r>
        <w:t xml:space="preserve"> </w:t>
      </w:r>
    </w:p>
    <w:p>
      <w:r>
        <w:t>系统采用自主创新的金链架构，为半去中心化、半公开数据模式。核心节点负责合规校验与风险控制，底层数据通过哈希算法实现不可篡改、可验证，确保每一笔记录真实有效。数据采用半公开机制，关键交易与资产记录可查询、可核验，同时保护用户合理隐私。该架构区别于现有公链的完全开放模式，兼顾透明性、安全性与可控性，更适合商业落地与合规运营。</w:t>
      </w:r>
    </w:p>
    <w:p>
      <w:r>
        <w:t>四、按克数锚定黄金白银价值机制</w:t>
      </w:r>
    </w:p>
    <w:p/>
    <w:p>
      <w:r>
        <w:t>系统以黄金白银克数为价值锚定标准，根据实时金价、银价形成稳定价值对标，用户资产与贵金属克重直接挂钩，从根源上实现资产保值增值与抗通胀等问题。所有锚定逻辑公开透明，资产对应关系清晰可查，为系统内流通与结算提供稳定的价值基础。</w:t>
      </w:r>
    </w:p>
    <w:p>
      <w:r>
        <w:t>五、结算与流通系统</w:t>
      </w:r>
    </w:p>
    <w:p>
      <w:r>
        <w:t xml:space="preserve"> </w:t>
      </w:r>
    </w:p>
    <w:p>
      <w:r>
        <w:t>系统支持充值、记账、转账、支付、存储，结算等完整流通功能，交易快速确认、流程简洁、成本可控。用户资金均为合法劳动、经营、商业服务所得，在系统内完成增值保值与结算后，可用于各类实体场景支付与商业往来，实现资金从实体中来、到实体中去的闭环。系统明确规则：用户法币本金可全额随时提现，增值收益部分仅可在平台生态内流通、支付、转账、存储等使用，不可提现，保障生态内安全、稳定、可持续发展。</w:t>
      </w:r>
    </w:p>
    <w:p>
      <w:r>
        <w:t>六、金字塔资产排名机制</w:t>
      </w:r>
    </w:p>
    <w:p>
      <w:r>
        <w:t xml:space="preserve"> </w:t>
      </w:r>
    </w:p>
    <w:p>
      <w:r>
        <w:t>系统设置金字塔资产排名，用户仅以黄金克数与资产总额为依据自动排序，排名实时更新、直观呈现系统内资产结构，为用户提供清晰、公开、客观的数据展示。</w:t>
      </w:r>
    </w:p>
    <w:p>
      <w:r>
        <w:t>七、安全与风控体系</w:t>
      </w:r>
    </w:p>
    <w:p>
      <w:r>
        <w:t xml:space="preserve"> </w:t>
      </w:r>
    </w:p>
    <w:p>
      <w:r>
        <w:t>系统采用哈希加密、数据不可篡改、多重安全校验等技术保障运行安全，实行实名制管理，对资金来源与流向进行合理核验，确保所有参与资金均为合法所得。通过完善的风险控制规则，保障交易有序、资产安全、系统稳定运行。</w:t>
      </w:r>
    </w:p>
    <w:p>
      <w:r>
        <w:t>八、合规运营</w:t>
      </w:r>
    </w:p>
    <w:p>
      <w:r>
        <w:t xml:space="preserve"> </w:t>
      </w:r>
    </w:p>
    <w:p>
      <w:r>
        <w:t>系统坚持合法合规、接受监管，严格遵循相关法律法规开展运营。以实名制为基础，以资金合法为前提，以服务实体为方向，构建规范、透明、可持续的运营体系，保障参与者合法权益。</w:t>
      </w:r>
    </w:p>
    <w:p>
      <w:r>
        <w:t>九、应用场景与发展方向</w:t>
      </w:r>
    </w:p>
    <w:p>
      <w:r>
        <w:t xml:space="preserve"> </w:t>
      </w:r>
    </w:p>
    <w:p>
      <w:r>
        <w:t>本系统适用于个人日常支付、个人资产存储保值增值、商超零售结算、实体门店经营、企业资金往来、批发贸易、供应链结算、跨区域商业往来、线上线下一体化消费等全场景资金流转与使用。</w:t>
      </w:r>
    </w:p>
    <w:p>
      <w:r>
        <w:t>未来将持续优化法币锚定金银结算系统与金链架构，拓展实体服务场景，强化法币锚定金银价值体系，推动合规、稳定、普惠的价值流通网络走向更广泛、更深度的商业化应用。</w:t>
      </w:r>
    </w:p>
    <w:p/>
    <w:p/>
    <w:p>
      <w:pPr>
        <w:rPr>
          <w:rFonts w:hint="eastAsia"/>
        </w:rPr>
      </w:pPr>
      <w:r>
        <w:t xml:space="preserve">                                           广西平南金影子网络有限公司出品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52</TotalTime>
  <Application>Honor_Office</Application>
  <Pages>2</Pages>
  <Words>1674</Words>
  <Characters>1677</Characters>
  <Lines>66</Lines>
  <Paragraphs>23</Paragraphs>
  <CharactersWithSpaces>1729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2026-04-25T13:21:04Z</dcterms:modified>
</cp:coreProperties>
</file>