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197E" w:rsidRDefault="008B197E">
      <w:pPr>
        <w:pStyle w:val="Paper-Title"/>
        <w:spacing w:after="60"/>
      </w:pPr>
      <w:r>
        <w:t>PasswordGuard: An Experimental Analysis of Password Strength and Authentication Security</w:t>
      </w:r>
    </w:p>
    <w:p w:rsidR="008B197E" w:rsidRDefault="008B197E">
      <w:pPr>
        <w:sectPr w:rsidR="008B197E" w:rsidSect="003B4153">
          <w:footerReference w:type="even" r:id="rId7"/>
          <w:pgSz w:w="12240" w:h="15840" w:code="1"/>
          <w:pgMar w:top="1080" w:right="1080" w:bottom="1440" w:left="1080" w:header="720" w:footer="720" w:gutter="0"/>
          <w:cols w:space="720"/>
        </w:sectPr>
      </w:pPr>
    </w:p>
    <w:p w:rsidR="008B197E" w:rsidRDefault="008B197E">
      <w:pPr>
        <w:pStyle w:val="Author"/>
        <w:spacing w:after="0"/>
        <w:rPr>
          <w:spacing w:val="-2"/>
        </w:rPr>
      </w:pPr>
      <w:r>
        <w:t>Duc Nhat Nguyen</w:t>
      </w:r>
    </w:p>
    <w:p w:rsidR="008B197E" w:rsidRDefault="008B197E">
      <w:pPr>
        <w:pStyle w:val="Affiliations"/>
        <w:rPr>
          <w:spacing w:val="-2"/>
        </w:rPr>
      </w:pPr>
      <w:r>
        <w:t>Faculty of Information Technology</w:t>
        <w:br/>
        <w:t>Vietnam National University</w:t>
        <w:br/>
        <w:t>Ho Chi Minh City, Vietnam</w:t>
      </w:r>
    </w:p>
    <w:p w:rsidR="008B197E" w:rsidRDefault="005B6A93">
      <w:pPr>
        <w:pStyle w:val="E-Mail"/>
        <w:rPr>
          <w:spacing w:val="-2"/>
        </w:rPr>
      </w:pPr>
      <w:r>
        <w:t>ducnhathg@gmail.com</w:t>
      </w:r>
    </w:p>
    <w:p w:rsidR="008B197E" w:rsidRDefault="008B197E">
      <w:pPr>
        <w:pStyle w:val="Author"/>
        <w:spacing w:after="0"/>
        <w:rPr>
          <w:spacing w:val="-2"/>
        </w:rPr>
      </w:pPr>
      <w:r>
        <w:t>Student Research Team</w:t>
      </w:r>
    </w:p>
    <w:p w:rsidR="008B197E" w:rsidRDefault="008B197E">
      <w:pPr>
        <w:pStyle w:val="Affiliations"/>
        <w:rPr>
          <w:spacing w:val="-2"/>
        </w:rPr>
      </w:pPr>
      <w:r>
        <w:t>Course: English Writing and Presentation Skills</w:t>
        <w:br/>
        <w:t>Faculty of Information Technology</w:t>
        <w:br/>
        <w:t>Vietnam National University</w:t>
      </w:r>
    </w:p>
    <w:p w:rsidR="008B197E" w:rsidRDefault="008B197E">
      <w:pPr>
        <w:pStyle w:val="E-Mail"/>
        <w:rPr>
          <w:spacing w:val="-2"/>
        </w:rPr>
      </w:pPr>
      <w:r>
        <w:t>team@passwordguard.edu.vn</w:t>
      </w:r>
    </w:p>
    <w:p w:rsidR="008B197E" w:rsidRDefault="008B197E">
      <w:pPr>
        <w:pStyle w:val="Author"/>
        <w:spacing w:after="0"/>
        <w:rPr>
          <w:spacing w:val="-2"/>
        </w:rPr>
      </w:pPr>
      <w:r>
        <w:t>Academic Advisor</w:t>
      </w:r>
    </w:p>
    <w:p w:rsidR="008B197E" w:rsidRDefault="008B197E">
      <w:pPr>
        <w:pStyle w:val="Affiliations"/>
        <w:rPr>
          <w:spacing w:val="-2"/>
        </w:rPr>
      </w:pPr>
      <w:r>
        <w:t>Department of Computer Science</w:t>
        <w:br/>
        <w:t>Vietnam National University</w:t>
        <w:br/>
        <w:t>Ho Chi Minh City, Vietnam</w:t>
      </w:r>
    </w:p>
    <w:p w:rsidR="008B197E" w:rsidRDefault="008B197E">
      <w:pPr>
        <w:pStyle w:val="E-Mail"/>
        <w:rPr>
          <w:spacing w:val="-2"/>
        </w:rPr>
      </w:pPr>
      <w:r>
        <w:t>advisor@vnu.edu.vn</w:t>
      </w:r>
    </w:p>
    <w:p w:rsidR="008B197E" w:rsidRDefault="008B197E">
      <w:pPr>
        <w:pStyle w:val="E-Mail"/>
        <w:rPr>
          <w:spacing w:val="-2"/>
        </w:rPr>
      </w:pPr>
      <w:r/>
    </w:p>
    <w:p w:rsidR="008B197E" w:rsidRDefault="008B197E">
      <w:pPr>
        <w:pStyle w:val="E-Mail"/>
      </w:pPr>
      <w:r/>
    </w:p>
    <w:p w:rsidR="008B197E" w:rsidRDefault="008B197E">
      <w:pPr>
        <w:jc w:val="center"/>
        <w:sectPr w:rsidR="008B197E" w:rsidSect="003B4153">
          <w:type w:val="continuous"/>
          <w:pgSz w:w="12240" w:h="15840" w:code="1"/>
          <w:pgMar w:top="1080" w:right="1080" w:bottom="1440" w:left="1080" w:header="720" w:footer="720" w:gutter="0"/>
          <w:cols w:num="3" w:space="0"/>
        </w:sectPr>
      </w:pPr>
    </w:p>
    <w:p>
      <w:pPr>
        <w:spacing w:before="80" w:after="40"/>
        <w:jc w:val="left"/>
      </w:pPr>
      <w:r>
        <w:rPr>
          <w:rFonts w:ascii="Times New Roman" w:hAnsi="Times New Roman"/>
          <w:b/>
          <w:sz w:val="20"/>
        </w:rPr>
        <w:t>ABSTRACT</w:t>
      </w:r>
    </w:p>
    <w:p>
      <w:pPr>
        <w:pStyle w:val="Abstract"/>
        <w:spacing w:before="0" w:after="80"/>
        <w:jc w:val="both"/>
      </w:pPr>
      <w:r>
        <w:rPr>
          <w:rFonts w:ascii="Times New Roman" w:hAnsi="Times New Roman"/>
          <w:sz w:val="17"/>
        </w:rPr>
        <w:t>Password-based authentication remains the foundational access control mechanism across modern computing systems despite severe vulnerabilities stemming from human cognitive memory limits and predictable pattern selection. This paper presents PasswordGuard, an educational client-side web application designed to evaluate credential complexity, estimate theoretical search spaces, and demonstrate cryptographic hashing and salting mechanics without server-side data persistence. The system implements a transparent 0–100 heuristic scoring algorithm, theoretical character-space entropy estimation under an idealized uniform-selection assumption, and illustrative brute-force guessing projections across assumed threat models. To evaluate the functional behavior of the heuristic analyzer, an experiment was conducted on a controlled dataset of 150 synthetic passwords evenly partitioned across five structural categories (n = 30). The evaluation demonstrated consistent heuristic responses: 16-character pseudo-random strings (Category E) attained the highest mean score (90.0/100, 100% Strong), and multi-word passphrases (Category D) achieved the highest mean theoretical character-space entropy estimate (182.9 bits, 70.0% Strong) despite using only two character pools. Conversely, superficially complex passwords containing dictionary roots and appended symbols (Category B) were penalized heavily, averaging 10.5/100 (96.7% Weak). Because the experiment evaluates the application's internal heuristic model on synthetic samples, it does not serve as an independent real-world cracking benchmark. Ultimately, the project demonstrates that password length exponentially expands theoretical search spaces and emphasizes that effective authentication requires defense in depth, combining memorable passphrases with password managers, slow memory-hard key derivation functions such as Argon2id, rate limiting, and multi-factor authentication.</w:t>
      </w:r>
    </w:p>
    <w:p>
      <w:pPr>
        <w:spacing w:before="60" w:after="20"/>
        <w:jc w:val="left"/>
      </w:pPr>
      <w:r>
        <w:rPr>
          <w:rFonts w:ascii="Times New Roman" w:hAnsi="Times New Roman"/>
          <w:b/>
          <w:sz w:val="19"/>
        </w:rPr>
        <w:t>CCS Concepts</w:t>
      </w:r>
    </w:p>
    <w:p>
      <w:pPr>
        <w:spacing w:before="0" w:after="60"/>
        <w:jc w:val="both"/>
      </w:pPr>
      <w:r>
        <w:rPr>
          <w:rFonts w:ascii="Times New Roman" w:hAnsi="Times New Roman"/>
          <w:sz w:val="17"/>
        </w:rPr>
        <w:t>• Security and privacy ~ Authentication; Usability in security and privacy; Cryptographic protocols; Hash functions.</w:t>
      </w:r>
    </w:p>
    <w:p>
      <w:pPr>
        <w:spacing w:before="60" w:after="20"/>
        <w:jc w:val="left"/>
      </w:pPr>
      <w:r>
        <w:rPr>
          <w:rFonts w:ascii="Times New Roman" w:hAnsi="Times New Roman"/>
          <w:b/>
          <w:sz w:val="19"/>
        </w:rPr>
        <w:t>Keywords</w:t>
      </w:r>
    </w:p>
    <w:p>
      <w:pPr>
        <w:spacing w:before="0" w:after="120"/>
        <w:jc w:val="both"/>
      </w:pPr>
      <w:r>
        <w:rPr>
          <w:rFonts w:ascii="Times New Roman" w:hAnsi="Times New Roman"/>
          <w:sz w:val="17"/>
        </w:rPr>
        <w:t>password authentication; password strength; heuristic scoring; theoretical entropy; cryptographic salting</w:t>
      </w:r>
    </w:p>
    <w:p>
      <w:pPr>
        <w:pStyle w:val="Heading1"/>
        <w:keepNext/>
        <w:spacing w:before="160" w:after="50"/>
        <w:jc w:val="left"/>
      </w:pPr>
      <w:r>
        <w:rPr>
          <w:rFonts w:ascii="Times New Roman" w:hAnsi="Times New Roman"/>
          <w:b/>
          <w:sz w:val="22"/>
        </w:rPr>
        <w:t>INTRODUCTION</w:t>
      </w:r>
    </w:p>
    <w:p>
      <w:pPr>
        <w:spacing w:before="0" w:after="60" w:line="252" w:lineRule="auto"/>
        <w:jc w:val="both"/>
      </w:pPr>
      <w:r>
        <w:rPr>
          <w:rFonts w:ascii="Times New Roman" w:hAnsi="Times New Roman"/>
          <w:sz w:val="18"/>
        </w:rPr>
        <w:t>Authentication is the cornerstone of information security, serving as the gateway that verifies whether an entity requesting access to a system is indeed authorized to do so [13]. Among the primary authentication factors—knowledge ("something you know"), possession ("something you have"), and inherence ("something you are")—knowledge-based passwords remain the most widely deployed mechanism worldwide due to their legacy support, minimal implementation overhead, and intuitive conceptual model [2].</w:t>
      </w:r>
    </w:p>
    <w:p>
      <w:pPr>
        <w:spacing w:before="0" w:after="60" w:line="252" w:lineRule="auto"/>
        <w:jc w:val="both"/>
      </w:pPr>
      <w:r>
        <w:rPr>
          <w:rFonts w:ascii="Times New Roman" w:hAnsi="Times New Roman"/>
          <w:sz w:val="18"/>
        </w:rPr>
        <w:t>However, the human factors governing password selection introduce severe systemic vulnerabilities. Studies examining leaked credentials consistently reveal that users select predictable patterns, dictionary terms, common date sequences, and simple character substitutions (such as replacing 'a' with '@') to accommodate memorization constraints [15]. Furthermore, users routinely reuse passwords across diverse services, magnifying the blast radius of single-site breaches through automated credential stuffing attacks [14].</w:t>
      </w:r>
    </w:p>
    <w:p>
      <w:pPr>
        <w:spacing w:before="0" w:after="60" w:line="252" w:lineRule="auto"/>
        <w:jc w:val="both"/>
      </w:pPr>
      <w:r>
        <w:rPr>
          <w:rFonts w:ascii="Times New Roman" w:hAnsi="Times New Roman"/>
          <w:sz w:val="18"/>
        </w:rPr>
        <w:t>At the same time, computing capabilities available to threat actors have expanded by multiple orders of magnitude. Commercial graphics processing units (GPUs) and specialized Application-Specific Integrated Circuits (ASICs) enable offline cracking rigs to test fast hash candidates at large scale against captured authentication databases [12]. Consequently, intuitive human conceptions of "complexity" fail to reflect the mathematical realities of cryptographic search spaces.</w:t>
      </w:r>
    </w:p>
    <w:p>
      <w:pPr>
        <w:pStyle w:val="Heading2"/>
        <w:keepNext/>
        <w:spacing w:before="120" w:after="40"/>
        <w:jc w:val="left"/>
      </w:pPr>
      <w:r>
        <w:rPr>
          <w:rFonts w:ascii="Times New Roman" w:hAnsi="Times New Roman"/>
          <w:b/>
          <w:sz w:val="20"/>
        </w:rPr>
        <w:t>Objectives of this Work</w:t>
      </w:r>
    </w:p>
    <w:p>
      <w:pPr>
        <w:spacing w:before="0" w:after="60" w:line="252" w:lineRule="auto"/>
        <w:jc w:val="both"/>
      </w:pPr>
      <w:r>
        <w:rPr>
          <w:rFonts w:ascii="Times New Roman" w:hAnsi="Times New Roman"/>
          <w:sz w:val="18"/>
        </w:rPr>
        <w:t xml:space="preserve">To bridge this educational gap for undergraduate students in Information Technology, this project develops </w:t>
      </w:r>
      <w:r>
        <w:rPr>
          <w:rFonts w:ascii="Times New Roman" w:hAnsi="Times New Roman"/>
          <w:b/>
          <w:sz w:val="18"/>
        </w:rPr>
        <w:t>PasswordGuard</w:t>
      </w:r>
      <w:r>
        <w:rPr>
          <w:rFonts w:ascii="Times New Roman" w:hAnsi="Times New Roman"/>
          <w:sz w:val="18"/>
        </w:rPr>
        <w:t>, an educational software platform and empirical evaluation framework with the following specific objectives:</w:t>
      </w:r>
    </w:p>
    <w:p>
      <w:pPr>
        <w:spacing w:before="0" w:after="40" w:line="252" w:lineRule="auto"/>
        <w:ind w:left="259"/>
        <w:jc w:val="both"/>
      </w:pPr>
      <w:r>
        <w:rPr>
          <w:rFonts w:ascii="Times New Roman" w:hAnsi="Times New Roman"/>
          <w:b/>
          <w:sz w:val="18"/>
        </w:rPr>
        <w:t xml:space="preserve">•  </w:t>
      </w:r>
      <w:r>
        <w:rPr>
          <w:rFonts w:ascii="Times New Roman" w:hAnsi="Times New Roman"/>
          <w:sz w:val="18"/>
        </w:rPr>
        <w:t>Provide a transparent, client-side password analysis system that quantifies structural properties, character diversity, and vulnerability patterns.</w:t>
      </w:r>
    </w:p>
    <w:p>
      <w:pPr>
        <w:spacing w:before="0" w:after="40" w:line="252" w:lineRule="auto"/>
        <w:ind w:left="259"/>
        <w:jc w:val="both"/>
      </w:pPr>
      <w:r>
        <w:rPr>
          <w:rFonts w:ascii="Times New Roman" w:hAnsi="Times New Roman"/>
          <w:b/>
          <w:sz w:val="18"/>
        </w:rPr>
        <w:t xml:space="preserve">•  </w:t>
      </w:r>
      <w:r>
        <w:rPr>
          <w:rFonts w:ascii="Times New Roman" w:hAnsi="Times New Roman"/>
          <w:sz w:val="18"/>
        </w:rPr>
        <w:t>Educate users on the mathematical relationship between password length (</w:t>
      </w:r>
      <w:r>
        <w:rPr>
          <w:rFonts w:ascii="Times New Roman" w:hAnsi="Times New Roman"/>
          <w:i/>
          <w:sz w:val="18"/>
        </w:rPr>
        <w:t>L</w:t>
      </w:r>
      <w:r>
        <w:rPr>
          <w:rFonts w:ascii="Times New Roman" w:hAnsi="Times New Roman"/>
          <w:sz w:val="18"/>
        </w:rPr>
        <w:t>), character pool size (</w:t>
      </w:r>
      <w:r>
        <w:rPr>
          <w:rFonts w:ascii="Times New Roman" w:hAnsi="Times New Roman"/>
          <w:i/>
          <w:sz w:val="18"/>
        </w:rPr>
        <w:t>R</w:t>
      </w:r>
      <w:r>
        <w:rPr>
          <w:rFonts w:ascii="Times New Roman" w:hAnsi="Times New Roman"/>
          <w:sz w:val="18"/>
        </w:rPr>
        <w:t>), and theoretical character-space entropy (</w:t>
      </w:r>
      <w:r>
        <w:rPr>
          <w:rFonts w:ascii="Times New Roman" w:hAnsi="Times New Roman"/>
          <w:i/>
          <w:sz w:val="18"/>
        </w:rPr>
        <w:t>E</w:t>
      </w:r>
      <w:r>
        <w:rPr>
          <w:rFonts w:ascii="Times New Roman" w:hAnsi="Times New Roman"/>
          <w:sz w:val="18"/>
        </w:rPr>
        <w:t>).</w:t>
      </w:r>
    </w:p>
    <w:p>
      <w:pPr>
        <w:spacing w:before="0" w:after="40" w:line="252" w:lineRule="auto"/>
        <w:ind w:left="259"/>
        <w:jc w:val="both"/>
      </w:pPr>
      <w:r>
        <w:rPr>
          <w:rFonts w:ascii="Times New Roman" w:hAnsi="Times New Roman"/>
          <w:b/>
          <w:sz w:val="18"/>
        </w:rPr>
        <w:t xml:space="preserve">•  </w:t>
      </w:r>
      <w:r>
        <w:rPr>
          <w:rFonts w:ascii="Times New Roman" w:hAnsi="Times New Roman"/>
          <w:sz w:val="18"/>
        </w:rPr>
        <w:t>Illustrate brute-force search space complexity under educational online vs. offline guessing rate scenarios.</w:t>
      </w:r>
    </w:p>
    <w:p>
      <w:pPr>
        <w:spacing w:before="0" w:after="40" w:line="252" w:lineRule="auto"/>
        <w:ind w:left="259"/>
        <w:jc w:val="both"/>
      </w:pPr>
      <w:r>
        <w:rPr>
          <w:rFonts w:ascii="Times New Roman" w:hAnsi="Times New Roman"/>
          <w:b/>
          <w:sz w:val="18"/>
        </w:rPr>
        <w:t xml:space="preserve">•  </w:t>
      </w:r>
      <w:r>
        <w:rPr>
          <w:rFonts w:ascii="Times New Roman" w:hAnsi="Times New Roman"/>
          <w:sz w:val="18"/>
        </w:rPr>
        <w:t>Provide an interactive demonstration of one-way cryptographic hashing (using browser-native Web Crypto SHA-256) and evaluate the necessity of cryptographic salts.</w:t>
      </w:r>
    </w:p>
    <w:p>
      <w:pPr>
        <w:spacing w:before="0" w:after="40" w:line="252" w:lineRule="auto"/>
        <w:ind w:left="259"/>
        <w:jc w:val="both"/>
      </w:pPr>
      <w:r>
        <w:rPr>
          <w:rFonts w:ascii="Times New Roman" w:hAnsi="Times New Roman"/>
          <w:b/>
          <w:sz w:val="18"/>
        </w:rPr>
        <w:t xml:space="preserve">•  </w:t>
      </w:r>
      <w:r>
        <w:rPr>
          <w:rFonts w:ascii="Times New Roman" w:hAnsi="Times New Roman"/>
          <w:sz w:val="18"/>
        </w:rPr>
        <w:t>Contrast general-purpose fast hashing algorithms with production-grade, memory-hard Key Derivation Functions (KDFs) such as Argon2id [1].</w:t>
      </w:r>
    </w:p>
    <w:p>
      <w:pPr>
        <w:spacing w:before="0" w:after="40" w:line="252" w:lineRule="auto"/>
        <w:ind w:left="259"/>
        <w:jc w:val="both"/>
      </w:pPr>
      <w:r>
        <w:rPr>
          <w:rFonts w:ascii="Times New Roman" w:hAnsi="Times New Roman"/>
          <w:b/>
          <w:sz w:val="18"/>
        </w:rPr>
        <w:t xml:space="preserve">•  </w:t>
      </w:r>
      <w:r>
        <w:rPr>
          <w:rFonts w:ascii="Times New Roman" w:hAnsi="Times New Roman"/>
          <w:sz w:val="18"/>
        </w:rPr>
        <w:t>Maintain privacy-by-design standards by operating client-side in browser memory without application-level storage or transmission of user-entered text.</w:t>
      </w:r>
    </w:p>
    <w:p>
      <w:pPr>
        <w:pStyle w:val="Heading1"/>
        <w:keepNext/>
        <w:spacing w:before="160" w:after="50"/>
        <w:jc w:val="left"/>
      </w:pPr>
      <w:r>
        <w:rPr>
          <w:rFonts w:ascii="Times New Roman" w:hAnsi="Times New Roman"/>
          <w:b/>
          <w:sz w:val="22"/>
        </w:rPr>
        <w:t>BACKGROUND AND RELATED WORK</w:t>
      </w:r>
    </w:p>
    <w:p>
      <w:pPr>
        <w:pStyle w:val="Heading2"/>
        <w:keepNext/>
        <w:spacing w:before="120" w:after="40"/>
        <w:jc w:val="left"/>
      </w:pPr>
      <w:r>
        <w:rPr>
          <w:rFonts w:ascii="Times New Roman" w:hAnsi="Times New Roman"/>
          <w:b/>
          <w:sz w:val="20"/>
        </w:rPr>
        <w:t>The Prover-Verifier Paradigm</w:t>
      </w:r>
    </w:p>
    <w:p>
      <w:pPr>
        <w:spacing w:before="0" w:after="60" w:line="252" w:lineRule="auto"/>
        <w:jc w:val="both"/>
      </w:pPr>
      <w:r>
        <w:rPr>
          <w:rFonts w:ascii="Times New Roman" w:hAnsi="Times New Roman"/>
          <w:sz w:val="18"/>
        </w:rPr>
        <w:t>Password authentication is fundamentally a prover-verifier protocol. A client establishes an identity identifier (username) and a secret password (</w:t>
      </w:r>
      <w:r>
        <w:rPr>
          <w:rFonts w:ascii="Times New Roman" w:hAnsi="Times New Roman"/>
          <w:i/>
          <w:sz w:val="18"/>
        </w:rPr>
        <w:t>S</w:t>
      </w:r>
      <w:r>
        <w:rPr>
          <w:rFonts w:ascii="Times New Roman" w:hAnsi="Times New Roman"/>
          <w:sz w:val="18"/>
        </w:rPr>
        <w:t xml:space="preserve">). Upon subsequent authentication attempts, the client presents </w:t>
      </w:r>
      <w:r>
        <w:rPr>
          <w:rFonts w:ascii="Times New Roman" w:hAnsi="Times New Roman"/>
          <w:i/>
          <w:sz w:val="18"/>
        </w:rPr>
        <w:t>S</w:t>
      </w:r>
      <w:r>
        <w:rPr>
          <w:rFonts w:ascii="Times New Roman" w:hAnsi="Times New Roman"/>
          <w:sz w:val="18"/>
        </w:rPr>
        <w:t>. The server does not need to store the plaintext secret; rather, it validates whether the presented password produces a digest matching the stored cryptographic verifier (salted hash) [13].</w:t>
      </w:r>
    </w:p>
    <w:p>
      <w:pPr>
        <w:pStyle w:val="Heading2"/>
        <w:keepNext/>
        <w:spacing w:before="120" w:after="40"/>
        <w:jc w:val="left"/>
      </w:pPr>
      <w:r>
        <w:rPr>
          <w:rFonts w:ascii="Times New Roman" w:hAnsi="Times New Roman"/>
          <w:b/>
          <w:sz w:val="20"/>
        </w:rPr>
        <w:t>Character Spaces and Combinatorial Complexity</w:t>
      </w:r>
    </w:p>
    <w:p>
      <w:pPr>
        <w:spacing w:before="0" w:after="60" w:line="252" w:lineRule="auto"/>
        <w:jc w:val="both"/>
      </w:pPr>
      <w:r>
        <w:rPr>
          <w:rFonts w:ascii="Times New Roman" w:hAnsi="Times New Roman"/>
          <w:sz w:val="18"/>
        </w:rPr>
        <w:t>The mathematical difficulty of an exhaustive brute-force search against a random password depends on two parameters: alphabet size (</w:t>
      </w:r>
      <w:r>
        <w:rPr>
          <w:rFonts w:ascii="Times New Roman" w:hAnsi="Times New Roman"/>
          <w:i/>
          <w:sz w:val="18"/>
        </w:rPr>
        <w:t>R</w:t>
      </w:r>
      <w:r>
        <w:rPr>
          <w:rFonts w:ascii="Times New Roman" w:hAnsi="Times New Roman"/>
          <w:sz w:val="18"/>
        </w:rPr>
        <w:t>, the number of discrete symbols available in candidate character pools) and length (</w:t>
      </w:r>
      <w:r>
        <w:rPr>
          <w:rFonts w:ascii="Times New Roman" w:hAnsi="Times New Roman"/>
          <w:i/>
          <w:sz w:val="18"/>
        </w:rPr>
        <w:t>L</w:t>
      </w:r>
      <w:r>
        <w:rPr>
          <w:rFonts w:ascii="Times New Roman" w:hAnsi="Times New Roman"/>
          <w:sz w:val="18"/>
        </w:rPr>
        <w:t xml:space="preserve">, total characters). The total search space size </w:t>
      </w:r>
      <w:r>
        <w:rPr>
          <w:rFonts w:ascii="Times New Roman" w:hAnsi="Times New Roman"/>
          <w:i/>
          <w:sz w:val="18"/>
        </w:rPr>
        <w:t>N</w:t>
      </w:r>
      <w:r>
        <w:rPr>
          <w:rFonts w:ascii="Times New Roman" w:hAnsi="Times New Roman"/>
          <w:sz w:val="18"/>
        </w:rPr>
        <w:t xml:space="preserve"> is expressed exponentially: </w:t>
      </w:r>
      <w:r>
        <w:rPr>
          <w:rFonts w:ascii="Times New Roman" w:hAnsi="Times New Roman"/>
          <w:i/>
          <w:sz w:val="18"/>
        </w:rPr>
        <w:t>N = R^L</w:t>
      </w:r>
      <w:r>
        <w:rPr>
          <w:rFonts w:ascii="Times New Roman" w:hAnsi="Times New Roman"/>
          <w:sz w:val="18"/>
        </w:rPr>
        <w:t>.</w:t>
      </w:r>
    </w:p>
    <w:p>
      <w:pPr>
        <w:spacing w:before="0" w:after="60" w:line="252" w:lineRule="auto"/>
        <w:jc w:val="both"/>
      </w:pPr>
      <w:r>
        <w:rPr>
          <w:rFonts w:ascii="Times New Roman" w:hAnsi="Times New Roman"/>
          <w:sz w:val="18"/>
        </w:rPr>
        <w:t>Because length appears as an exponent while alphabet size acts only as the base, increasing length yields exponential increases in search complexity. For example, expanding an 8-character password from lowercase (</w:t>
      </w:r>
      <w:r>
        <w:rPr>
          <w:rFonts w:ascii="Times New Roman" w:hAnsi="Times New Roman"/>
          <w:i/>
          <w:sz w:val="18"/>
        </w:rPr>
        <w:t>26^8 ≈ 2.08 × 10^{11}</w:t>
      </w:r>
      <w:r>
        <w:rPr>
          <w:rFonts w:ascii="Times New Roman" w:hAnsi="Times New Roman"/>
          <w:sz w:val="18"/>
        </w:rPr>
        <w:t>) to full printable ASCII (</w:t>
      </w:r>
      <w:r>
        <w:rPr>
          <w:rFonts w:ascii="Times New Roman" w:hAnsi="Times New Roman"/>
          <w:i/>
          <w:sz w:val="18"/>
        </w:rPr>
        <w:t>95^8 ≈ 6.63 × 10^{15}</w:t>
      </w:r>
      <w:r>
        <w:rPr>
          <w:rFonts w:ascii="Times New Roman" w:hAnsi="Times New Roman"/>
          <w:sz w:val="18"/>
        </w:rPr>
        <w:t xml:space="preserve">) multiplies the space by roughly </w:t>
      </w:r>
      <w:r>
        <w:rPr>
          <w:rFonts w:ascii="Times New Roman" w:hAnsi="Times New Roman"/>
          <w:i/>
          <w:sz w:val="18"/>
        </w:rPr>
        <w:t>3 × 10^4</w:t>
      </w:r>
      <w:r>
        <w:rPr>
          <w:rFonts w:ascii="Times New Roman" w:hAnsi="Times New Roman"/>
          <w:sz w:val="18"/>
        </w:rPr>
        <w:t>. Conversely, simply increasing a lowercase password from 8 to 16 characters (</w:t>
      </w:r>
      <w:r>
        <w:rPr>
          <w:rFonts w:ascii="Times New Roman" w:hAnsi="Times New Roman"/>
          <w:i/>
          <w:sz w:val="18"/>
        </w:rPr>
        <w:t>26^{16} ≈ 4.36 × 10^{22}</w:t>
      </w:r>
      <w:r>
        <w:rPr>
          <w:rFonts w:ascii="Times New Roman" w:hAnsi="Times New Roman"/>
          <w:sz w:val="18"/>
        </w:rPr>
        <w:t xml:space="preserve">) multiplies the search space by more than </w:t>
      </w:r>
      <w:r>
        <w:rPr>
          <w:rFonts w:ascii="Times New Roman" w:hAnsi="Times New Roman"/>
          <w:i/>
          <w:sz w:val="18"/>
        </w:rPr>
        <w:t>2 × 10^{11}</w:t>
      </w:r>
      <w:r>
        <w:rPr>
          <w:rFonts w:ascii="Times New Roman" w:hAnsi="Times New Roman"/>
          <w:sz w:val="18"/>
        </w:rPr>
        <w:t>, highlighting the mathematical advantage of length over alphabet diversity [11].</w:t>
      </w:r>
    </w:p>
    <w:p>
      <w:pPr>
        <w:pStyle w:val="Heading2"/>
        <w:keepNext/>
        <w:spacing w:before="120" w:after="40"/>
        <w:jc w:val="left"/>
      </w:pPr>
      <w:r>
        <w:rPr>
          <w:rFonts w:ascii="Times New Roman" w:hAnsi="Times New Roman"/>
          <w:b/>
          <w:sz w:val="20"/>
        </w:rPr>
        <w:t>Information-Theoretic Entropy</w:t>
      </w:r>
    </w:p>
    <w:p>
      <w:pPr>
        <w:spacing w:before="0" w:after="60" w:line="252" w:lineRule="auto"/>
        <w:jc w:val="both"/>
      </w:pPr>
      <w:r>
        <w:rPr>
          <w:rFonts w:ascii="Times New Roman" w:hAnsi="Times New Roman"/>
          <w:sz w:val="18"/>
        </w:rPr>
        <w:t xml:space="preserve">In classical information theory, Claude Shannon defined entropy as the measure of average information content or uncertainty produced by an information source [11]. Assuming characters are chosen independently and uniformly at random from an alphabet of size </w:t>
      </w:r>
      <w:r>
        <w:rPr>
          <w:rFonts w:ascii="Times New Roman" w:hAnsi="Times New Roman"/>
          <w:i/>
          <w:sz w:val="18"/>
        </w:rPr>
        <w:t>R</w:t>
      </w:r>
      <w:r>
        <w:rPr>
          <w:rFonts w:ascii="Times New Roman" w:hAnsi="Times New Roman"/>
          <w:sz w:val="18"/>
        </w:rPr>
        <w:t xml:space="preserve">, the theoretical character-space entropy estimate </w:t>
      </w:r>
      <w:r>
        <w:rPr>
          <w:rFonts w:ascii="Times New Roman" w:hAnsi="Times New Roman"/>
          <w:i/>
          <w:sz w:val="18"/>
        </w:rPr>
        <w:t>E</w:t>
      </w:r>
      <w:r>
        <w:rPr>
          <w:rFonts w:ascii="Times New Roman" w:hAnsi="Times New Roman"/>
          <w:sz w:val="18"/>
        </w:rPr>
        <w:t xml:space="preserve"> in bits is given by </w:t>
      </w:r>
      <w:r>
        <w:rPr>
          <w:rFonts w:ascii="Times New Roman" w:hAnsi="Times New Roman"/>
          <w:i/>
          <w:sz w:val="18"/>
        </w:rPr>
        <w:t>E = L × log₂(R)</w:t>
      </w:r>
      <w:r>
        <w:rPr>
          <w:rFonts w:ascii="Times New Roman" w:hAnsi="Times New Roman"/>
          <w:sz w:val="18"/>
        </w:rPr>
        <w:t>.</w:t>
      </w:r>
    </w:p>
    <w:p>
      <w:pPr>
        <w:spacing w:before="0" w:after="60" w:line="252" w:lineRule="auto"/>
        <w:jc w:val="both"/>
      </w:pPr>
      <w:r>
        <w:rPr>
          <w:rFonts w:ascii="Times New Roman" w:hAnsi="Times New Roman"/>
          <w:sz w:val="18"/>
        </w:rPr>
        <w:t>While this calculation provides an upper-bound baseline under a uniform-character assumption, human users exhibit pronounced cognitive biases: they adhere to phonological constraints, capitalize initial characters, append sequential years or exclamation marks at the tail, and reuse common dictionary words [6, 15]. Consequently, educational heuristic analyzers must penalize predictable patterns rather than presenting character-space formulas as actual entropy of human-generated strings.</w:t>
      </w:r>
    </w:p>
    <w:p>
      <w:pPr>
        <w:pStyle w:val="Heading2"/>
        <w:keepNext/>
        <w:spacing w:before="120" w:after="40"/>
        <w:jc w:val="left"/>
      </w:pPr>
      <w:r>
        <w:rPr>
          <w:rFonts w:ascii="Times New Roman" w:hAnsi="Times New Roman"/>
          <w:b/>
          <w:sz w:val="20"/>
        </w:rPr>
        <w:t>Cryptographic Hashing and Salting</w:t>
      </w:r>
    </w:p>
    <w:p>
      <w:pPr>
        <w:spacing w:before="0" w:after="60" w:line="252" w:lineRule="auto"/>
        <w:jc w:val="both"/>
      </w:pPr>
      <w:r>
        <w:rPr>
          <w:rFonts w:ascii="Times New Roman" w:hAnsi="Times New Roman"/>
          <w:sz w:val="18"/>
        </w:rPr>
        <w:t>To mitigate risks if an authentication database is breached, passwords must never be stored in plaintext. Cryptographic hash functions provide a deterministic, one-way transformation mapping arbitrary-length inputs into fixed-length digests with pre-image resistance [7] and the Strict Avalanche Criterion [16].</w:t>
      </w:r>
    </w:p>
    <w:p>
      <w:pPr>
        <w:spacing w:before="0" w:after="60" w:line="252" w:lineRule="auto"/>
        <w:jc w:val="both"/>
      </w:pPr>
      <w:r>
        <w:rPr>
          <w:rFonts w:ascii="Times New Roman" w:hAnsi="Times New Roman"/>
          <w:sz w:val="18"/>
        </w:rPr>
        <w:t xml:space="preserve">Without salt, identical passwords produce identical hash digests, enabling adversaries to conduct precomputed dictionary lookups using Rainbow Tables [8]. A cryptographic salt is a unique, cryptographically random value (typically 16 bytes or 128 bits) appended to the password prior to hashing: Stored Digest = </w:t>
      </w:r>
      <w:r>
        <w:rPr>
          <w:rFonts w:ascii="Times New Roman" w:hAnsi="Times New Roman"/>
          <w:i/>
          <w:sz w:val="18"/>
        </w:rPr>
        <w:t>H(Password || Salt)</w:t>
      </w:r>
      <w:r>
        <w:rPr>
          <w:rFonts w:ascii="Times New Roman" w:hAnsi="Times New Roman"/>
          <w:sz w:val="18"/>
        </w:rPr>
        <w:t>. A unique salt forces an attacker to crack each stolen credential individually, neutralizing precomputed multi-target dictionary and rainbow-table attacks [13].</w:t>
      </w:r>
    </w:p>
    <w:p>
      <w:pPr>
        <w:pStyle w:val="Heading2"/>
        <w:keepNext/>
        <w:spacing w:before="120" w:after="40"/>
        <w:jc w:val="left"/>
      </w:pPr>
      <w:r>
        <w:rPr>
          <w:rFonts w:ascii="Times New Roman" w:hAnsi="Times New Roman"/>
          <w:b/>
          <w:sz w:val="20"/>
        </w:rPr>
        <w:t>Fast Hashes vs. Memory-Hard KDFs</w:t>
      </w:r>
    </w:p>
    <w:p>
      <w:pPr>
        <w:spacing w:before="0" w:after="60" w:line="252" w:lineRule="auto"/>
        <w:jc w:val="both"/>
      </w:pPr>
      <w:r>
        <w:rPr>
          <w:rFonts w:ascii="Times New Roman" w:hAnsi="Times New Roman"/>
          <w:sz w:val="18"/>
        </w:rPr>
        <w:t>General-purpose cryptographic hash functions (such as MD5, SHA-1, and SHA-256) were designed for maximum throughput in digital signatures and file integrity verification [7]. However, this high throughput makes them unsuitable for password storage: massively parallel GPU setups can execute billions of SHA-256 evaluations per second [12]. Current standards—such as NIST SP 800-63B-4 [13]—mandate specialized Key Derivation Functions designed to be deliberately slow and resource-intensive: Argon2id (winner of the Password Hashing Competition) [1], bcrypt (Blowfish-based adaptable cost factor) [10], scrypt (sequential memory-hard algorithm) [9], and PBKDF2 (HMAC iteration) [4].</w:t>
      </w:r>
    </w:p>
    <w:p>
      <w:pPr>
        <w:pStyle w:val="Heading1"/>
        <w:keepNext/>
        <w:spacing w:before="160" w:after="50"/>
        <w:jc w:val="left"/>
      </w:pPr>
      <w:r>
        <w:rPr>
          <w:rFonts w:ascii="Times New Roman" w:hAnsi="Times New Roman"/>
          <w:b/>
          <w:sz w:val="22"/>
        </w:rPr>
        <w:t>MATERIALS AND METHODS</w:t>
      </w:r>
    </w:p>
    <w:p>
      <w:pPr>
        <w:pStyle w:val="Heading2"/>
        <w:keepNext/>
        <w:spacing w:before="120" w:after="40"/>
        <w:jc w:val="left"/>
      </w:pPr>
      <w:r>
        <w:rPr>
          <w:rFonts w:ascii="Times New Roman" w:hAnsi="Times New Roman"/>
          <w:b/>
          <w:sz w:val="20"/>
        </w:rPr>
        <w:t>Ethical and Privacy Framework</w:t>
      </w:r>
    </w:p>
    <w:p>
      <w:pPr>
        <w:spacing w:before="0" w:after="60" w:line="252" w:lineRule="auto"/>
        <w:jc w:val="both"/>
      </w:pPr>
      <w:r>
        <w:rPr>
          <w:rFonts w:ascii="Times New Roman" w:hAnsi="Times New Roman"/>
          <w:sz w:val="18"/>
        </w:rPr>
        <w:t>Conducting security research on user credentials carries significant privacy and ethical liabilities [5]. To ensure compliance with academic research standards and user privacy:</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Local Browser Execution:</w:t>
      </w:r>
      <w:r>
        <w:rPr>
          <w:rFonts w:ascii="Times New Roman" w:hAnsi="Times New Roman"/>
          <w:sz w:val="18"/>
        </w:rPr>
        <w:t xml:space="preserve"> The analysis engine executes entirely within the user's local web browser execution context via TypeScript, without transmitting entered text to an application backend.</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Zero In-Browser Storage:</w:t>
      </w:r>
      <w:r>
        <w:rPr>
          <w:rFonts w:ascii="Times New Roman" w:hAnsi="Times New Roman"/>
          <w:sz w:val="18"/>
        </w:rPr>
        <w:t xml:space="preserve"> No persistent state mechanisms (such as localStorage, sessionStorage, cookies, or IndexedDB) are utilized.</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Purely Synthetic Evaluation Data:</w:t>
      </w:r>
      <w:r>
        <w:rPr>
          <w:rFonts w:ascii="Times New Roman" w:hAnsi="Times New Roman"/>
          <w:sz w:val="18"/>
        </w:rPr>
        <w:t xml:space="preserve"> Experimental evaluations are conducted strictly on synthetically generated test strings. No breached passwords, leaked database collections, or live student credentials were collected or stored.</w:t>
      </w:r>
    </w:p>
    <w:p>
      <w:pPr>
        <w:pStyle w:val="Heading2"/>
        <w:keepNext/>
        <w:spacing w:before="120" w:after="40"/>
        <w:jc w:val="left"/>
      </w:pPr>
      <w:r>
        <w:rPr>
          <w:rFonts w:ascii="Times New Roman" w:hAnsi="Times New Roman"/>
          <w:b/>
          <w:sz w:val="20"/>
        </w:rPr>
        <w:t>Heuristic Scoring Formulation</w:t>
      </w:r>
    </w:p>
    <w:p>
      <w:pPr>
        <w:spacing w:before="0" w:after="60" w:line="252" w:lineRule="auto"/>
        <w:jc w:val="both"/>
      </w:pPr>
      <w:r>
        <w:rPr>
          <w:rFonts w:ascii="Times New Roman" w:hAnsi="Times New Roman"/>
          <w:sz w:val="18"/>
        </w:rPr>
        <w:t xml:space="preserve">PasswordGuard calculates an educational heuristic score </w:t>
      </w:r>
      <w:r>
        <w:rPr>
          <w:rFonts w:ascii="Times New Roman" w:hAnsi="Times New Roman"/>
          <w:i/>
          <w:sz w:val="18"/>
        </w:rPr>
        <w:t>S ∈ [0, 100]</w:t>
      </w:r>
      <w:r>
        <w:rPr>
          <w:rFonts w:ascii="Times New Roman" w:hAnsi="Times New Roman"/>
          <w:sz w:val="18"/>
        </w:rPr>
        <w:t xml:space="preserve"> based on additive complexity rewards and subtractive pattern penalties: </w:t>
      </w:r>
      <w:r>
        <w:rPr>
          <w:rFonts w:ascii="Times New Roman" w:hAnsi="Times New Roman"/>
          <w:i/>
          <w:sz w:val="18"/>
        </w:rPr>
        <w:t>S = \text{clamp}[0, 100](S_{length} + S_{variety} + B_{diversity} + B_{passphrase} - P_{penalties})</w:t>
      </w:r>
      <w:r>
        <w:rPr>
          <w:rFonts w:ascii="Times New Roman" w:hAnsi="Times New Roman"/>
          <w:sz w:val="18"/>
        </w:rPr>
        <w:t>.</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Length Component ($S_{length}$, max 40 pts):</w:t>
      </w:r>
      <w:r>
        <w:rPr>
          <w:rFonts w:ascii="Times New Roman" w:hAnsi="Times New Roman"/>
          <w:sz w:val="18"/>
        </w:rPr>
        <w:t xml:space="preserve"> </w:t>
      </w:r>
      <w:r>
        <w:rPr>
          <w:rFonts w:ascii="Times New Roman" w:hAnsi="Times New Roman"/>
          <w:i/>
          <w:sz w:val="18"/>
        </w:rPr>
        <w:t>L &lt; 6</w:t>
      </w:r>
      <w:r>
        <w:rPr>
          <w:rFonts w:ascii="Times New Roman" w:hAnsi="Times New Roman"/>
          <w:sz w:val="18"/>
        </w:rPr>
        <w:t xml:space="preserve">: 4 pts; </w:t>
      </w:r>
      <w:r>
        <w:rPr>
          <w:rFonts w:ascii="Times New Roman" w:hAnsi="Times New Roman"/>
          <w:i/>
          <w:sz w:val="18"/>
        </w:rPr>
        <w:t>6 ≤ L ≤ 7</w:t>
      </w:r>
      <w:r>
        <w:rPr>
          <w:rFonts w:ascii="Times New Roman" w:hAnsi="Times New Roman"/>
          <w:sz w:val="18"/>
        </w:rPr>
        <w:t xml:space="preserve">: 10 pts; </w:t>
      </w:r>
      <w:r>
        <w:rPr>
          <w:rFonts w:ascii="Times New Roman" w:hAnsi="Times New Roman"/>
          <w:i/>
          <w:sz w:val="18"/>
        </w:rPr>
        <w:t>8 ≤ L ≤ 11</w:t>
      </w:r>
      <w:r>
        <w:rPr>
          <w:rFonts w:ascii="Times New Roman" w:hAnsi="Times New Roman"/>
          <w:sz w:val="18"/>
        </w:rPr>
        <w:t xml:space="preserve">: 20 pts; </w:t>
      </w:r>
      <w:r>
        <w:rPr>
          <w:rFonts w:ascii="Times New Roman" w:hAnsi="Times New Roman"/>
          <w:i/>
          <w:sz w:val="18"/>
        </w:rPr>
        <w:t>12 ≤ L ≤ 15</w:t>
      </w:r>
      <w:r>
        <w:rPr>
          <w:rFonts w:ascii="Times New Roman" w:hAnsi="Times New Roman"/>
          <w:sz w:val="18"/>
        </w:rPr>
        <w:t xml:space="preserve">: 32 pts; </w:t>
      </w:r>
      <w:r>
        <w:rPr>
          <w:rFonts w:ascii="Times New Roman" w:hAnsi="Times New Roman"/>
          <w:i/>
          <w:sz w:val="18"/>
        </w:rPr>
        <w:t>L ≥ 16</w:t>
      </w:r>
      <w:r>
        <w:rPr>
          <w:rFonts w:ascii="Times New Roman" w:hAnsi="Times New Roman"/>
          <w:sz w:val="18"/>
        </w:rPr>
        <w:t>: 40 pts.</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Character Set Variety ($S_{variety}$, max 35 pts):</w:t>
      </w:r>
      <w:r>
        <w:rPr>
          <w:rFonts w:ascii="Times New Roman" w:hAnsi="Times New Roman"/>
          <w:sz w:val="18"/>
        </w:rPr>
        <w:t xml:space="preserve"> Lowercase </w:t>
      </w:r>
      <w:r>
        <w:rPr>
          <w:rFonts w:ascii="Times New Roman" w:hAnsi="Times New Roman"/>
          <w:i/>
          <w:sz w:val="18"/>
        </w:rPr>
        <w:t>[a-z]</w:t>
      </w:r>
      <w:r>
        <w:rPr>
          <w:rFonts w:ascii="Times New Roman" w:hAnsi="Times New Roman"/>
          <w:sz w:val="18"/>
        </w:rPr>
        <w:t xml:space="preserve">: +8 pts; Uppercase </w:t>
      </w:r>
      <w:r>
        <w:rPr>
          <w:rFonts w:ascii="Times New Roman" w:hAnsi="Times New Roman"/>
          <w:i/>
          <w:sz w:val="18"/>
        </w:rPr>
        <w:t>[A-Z]</w:t>
      </w:r>
      <w:r>
        <w:rPr>
          <w:rFonts w:ascii="Times New Roman" w:hAnsi="Times New Roman"/>
          <w:sz w:val="18"/>
        </w:rPr>
        <w:t xml:space="preserve">: +8 pts; Digits </w:t>
      </w:r>
      <w:r>
        <w:rPr>
          <w:rFonts w:ascii="Times New Roman" w:hAnsi="Times New Roman"/>
          <w:i/>
          <w:sz w:val="18"/>
        </w:rPr>
        <w:t>[0-9]</w:t>
      </w:r>
      <w:r>
        <w:rPr>
          <w:rFonts w:ascii="Times New Roman" w:hAnsi="Times New Roman"/>
          <w:sz w:val="18"/>
        </w:rPr>
        <w:t xml:space="preserve">: +9 pts; Printable symbols </w:t>
      </w:r>
      <w:r>
        <w:rPr>
          <w:rFonts w:ascii="Times New Roman" w:hAnsi="Times New Roman"/>
          <w:i/>
          <w:sz w:val="18"/>
        </w:rPr>
        <w:t>[^a-zA-Z0-9]</w:t>
      </w:r>
      <w:r>
        <w:rPr>
          <w:rFonts w:ascii="Times New Roman" w:hAnsi="Times New Roman"/>
          <w:sz w:val="18"/>
        </w:rPr>
        <w:t>: +10 pts.</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Diversity Bonus ($B_{diversity}$, max 15 pts):</w:t>
      </w:r>
      <w:r>
        <w:rPr>
          <w:rFonts w:ascii="Times New Roman" w:hAnsi="Times New Roman"/>
          <w:sz w:val="18"/>
        </w:rPr>
        <w:t xml:space="preserve"> 4 pools present: +15 pts; 3 pools: +8 pts; 2 pools: +3 pts.</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Passphrase Bonus ($B_{passphrase}$, max 20 pts):</w:t>
      </w:r>
      <w:r>
        <w:rPr>
          <w:rFonts w:ascii="Times New Roman" w:hAnsi="Times New Roman"/>
          <w:sz w:val="18"/>
        </w:rPr>
        <w:t xml:space="preserve"> </w:t>
      </w:r>
      <w:r>
        <w:rPr>
          <w:rFonts w:ascii="Times New Roman" w:hAnsi="Times New Roman"/>
          <w:i/>
          <w:sz w:val="18"/>
        </w:rPr>
        <w:t>L ≥ 20</w:t>
      </w:r>
      <w:r>
        <w:rPr>
          <w:rFonts w:ascii="Times New Roman" w:hAnsi="Times New Roman"/>
          <w:sz w:val="18"/>
        </w:rPr>
        <w:t xml:space="preserve"> with </w:t>
      </w:r>
      <w:r>
        <w:rPr>
          <w:rFonts w:ascii="Times New Roman" w:hAnsi="Times New Roman"/>
          <w:i/>
          <w:sz w:val="18"/>
        </w:rPr>
        <w:t>≥ 10</w:t>
      </w:r>
      <w:r>
        <w:rPr>
          <w:rFonts w:ascii="Times New Roman" w:hAnsi="Times New Roman"/>
          <w:sz w:val="18"/>
        </w:rPr>
        <w:t xml:space="preserve"> unique chars and no sequential patterns: +20 pts; </w:t>
      </w:r>
      <w:r>
        <w:rPr>
          <w:rFonts w:ascii="Times New Roman" w:hAnsi="Times New Roman"/>
          <w:i/>
          <w:sz w:val="18"/>
        </w:rPr>
        <w:t>L ≥ 16</w:t>
      </w:r>
      <w:r>
        <w:rPr>
          <w:rFonts w:ascii="Times New Roman" w:hAnsi="Times New Roman"/>
          <w:sz w:val="18"/>
        </w:rPr>
        <w:t xml:space="preserve"> containing word delimiters: +15 pts.</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Pattern Penalties ($P_{penalties}$):</w:t>
      </w:r>
      <w:r>
        <w:rPr>
          <w:rFonts w:ascii="Times New Roman" w:hAnsi="Times New Roman"/>
          <w:sz w:val="18"/>
        </w:rPr>
        <w:t xml:space="preserve"> Length </w:t>
      </w:r>
      <w:r>
        <w:rPr>
          <w:rFonts w:ascii="Times New Roman" w:hAnsi="Times New Roman"/>
          <w:i/>
          <w:sz w:val="18"/>
        </w:rPr>
        <w:t>&lt;8</w:t>
      </w:r>
      <w:r>
        <w:rPr>
          <w:rFonts w:ascii="Times New Roman" w:hAnsi="Times New Roman"/>
          <w:sz w:val="18"/>
        </w:rPr>
        <w:t>: -20 pts (</w:t>
      </w:r>
      <w:r>
        <w:rPr>
          <w:rFonts w:ascii="Times New Roman" w:hAnsi="Times New Roman"/>
          <w:i/>
          <w:sz w:val="18"/>
        </w:rPr>
        <w:t>L &lt; 12</w:t>
      </w:r>
      <w:r>
        <w:rPr>
          <w:rFonts w:ascii="Times New Roman" w:hAnsi="Times New Roman"/>
          <w:sz w:val="18"/>
        </w:rPr>
        <w:t>: -8 pts); Repetitive characters: -15 pts; Predictable keyboard/numeric sequences: -15 pts; Common dictionary pattern: -25 pts; Single pool only: -15 pts.</w:t>
      </w:r>
    </w:p>
    <w:p>
      <w:pPr>
        <w:spacing w:before="0" w:after="60" w:line="252" w:lineRule="auto"/>
        <w:jc w:val="both"/>
      </w:pPr>
      <w:r>
        <w:rPr>
          <w:rFonts w:ascii="Times New Roman" w:hAnsi="Times New Roman"/>
          <w:sz w:val="18"/>
        </w:rPr>
        <w:t xml:space="preserve">Score tiers are partitioned into: </w:t>
      </w:r>
      <w:r>
        <w:rPr>
          <w:rFonts w:ascii="Times New Roman" w:hAnsi="Times New Roman"/>
          <w:b/>
          <w:sz w:val="18"/>
        </w:rPr>
        <w:t>Weak (0–39)</w:t>
      </w:r>
      <w:r>
        <w:rPr>
          <w:rFonts w:ascii="Times New Roman" w:hAnsi="Times New Roman"/>
          <w:sz w:val="18"/>
        </w:rPr>
        <w:t xml:space="preserve">, </w:t>
      </w:r>
      <w:r>
        <w:rPr>
          <w:rFonts w:ascii="Times New Roman" w:hAnsi="Times New Roman"/>
          <w:b/>
          <w:sz w:val="18"/>
        </w:rPr>
        <w:t>Medium (40–69)</w:t>
      </w:r>
      <w:r>
        <w:rPr>
          <w:rFonts w:ascii="Times New Roman" w:hAnsi="Times New Roman"/>
          <w:sz w:val="18"/>
        </w:rPr>
        <w:t xml:space="preserve">, and </w:t>
      </w:r>
      <w:r>
        <w:rPr>
          <w:rFonts w:ascii="Times New Roman" w:hAnsi="Times New Roman"/>
          <w:b/>
          <w:sz w:val="18"/>
        </w:rPr>
        <w:t>Strong (70–100)</w:t>
      </w:r>
      <w:r>
        <w:rPr>
          <w:rFonts w:ascii="Times New Roman" w:hAnsi="Times New Roman"/>
          <w:sz w:val="18"/>
        </w:rPr>
        <w:t>.</w:t>
      </w:r>
    </w:p>
    <w:p>
      <w:pPr>
        <w:pStyle w:val="Heading2"/>
        <w:keepNext/>
        <w:spacing w:before="120" w:after="40"/>
        <w:jc w:val="left"/>
      </w:pPr>
      <w:r>
        <w:rPr>
          <w:rFonts w:ascii="Times New Roman" w:hAnsi="Times New Roman"/>
          <w:b/>
          <w:sz w:val="20"/>
        </w:rPr>
        <w:t>Combinatorial Search Time Estimation</w:t>
      </w:r>
    </w:p>
    <w:p>
      <w:pPr>
        <w:spacing w:before="0" w:after="60" w:line="252" w:lineRule="auto"/>
        <w:jc w:val="both"/>
      </w:pPr>
      <w:r>
        <w:rPr>
          <w:rFonts w:ascii="Times New Roman" w:hAnsi="Times New Roman"/>
          <w:sz w:val="18"/>
        </w:rPr>
        <w:t xml:space="preserve">Combinatorial search calculations assume an idealized exhaustive search testing on average half the candidate space: </w:t>
      </w:r>
      <w:r>
        <w:rPr>
          <w:rFonts w:ascii="Times New Roman" w:hAnsi="Times New Roman"/>
          <w:i/>
          <w:sz w:val="18"/>
        </w:rPr>
        <w:t>T = (R^L / 2) / V_{guess}</w:t>
      </w:r>
      <w:r>
        <w:rPr>
          <w:rFonts w:ascii="Times New Roman" w:hAnsi="Times New Roman"/>
          <w:sz w:val="18"/>
        </w:rPr>
        <w:t xml:space="preserve">, where </w:t>
      </w:r>
      <w:r>
        <w:rPr>
          <w:rFonts w:ascii="Times New Roman" w:hAnsi="Times New Roman"/>
          <w:i/>
          <w:sz w:val="18"/>
        </w:rPr>
        <w:t>V_{guess}</w:t>
      </w:r>
      <w:r>
        <w:rPr>
          <w:rFonts w:ascii="Times New Roman" w:hAnsi="Times New Roman"/>
          <w:sz w:val="18"/>
        </w:rPr>
        <w:t xml:space="preserve"> represents an illustrative assumed guessing rate across three threat profiles: (1) Online Throttled Guessing: </w:t>
      </w:r>
      <w:r>
        <w:rPr>
          <w:rFonts w:ascii="Times New Roman" w:hAnsi="Times New Roman"/>
          <w:i/>
          <w:sz w:val="18"/>
        </w:rPr>
        <w:t>V_1 = 100</w:t>
      </w:r>
      <w:r>
        <w:rPr>
          <w:rFonts w:ascii="Times New Roman" w:hAnsi="Times New Roman"/>
          <w:sz w:val="18"/>
        </w:rPr>
        <w:t xml:space="preserve"> guesses/sec; (2) Offline Desktop Guessing: </w:t>
      </w:r>
      <w:r>
        <w:rPr>
          <w:rFonts w:ascii="Times New Roman" w:hAnsi="Times New Roman"/>
          <w:i/>
          <w:sz w:val="18"/>
        </w:rPr>
        <w:t>V_2 = 10^7</w:t>
      </w:r>
      <w:r>
        <w:rPr>
          <w:rFonts w:ascii="Times New Roman" w:hAnsi="Times New Roman"/>
          <w:sz w:val="18"/>
        </w:rPr>
        <w:t xml:space="preserve"> guesses/sec; (3) High-Performance Cluster Guessing: </w:t>
      </w:r>
      <w:r>
        <w:rPr>
          <w:rFonts w:ascii="Times New Roman" w:hAnsi="Times New Roman"/>
          <w:i/>
          <w:sz w:val="18"/>
        </w:rPr>
        <w:t>V_3 = 10^{11}</w:t>
      </w:r>
      <w:r>
        <w:rPr>
          <w:rFonts w:ascii="Times New Roman" w:hAnsi="Times New Roman"/>
          <w:sz w:val="18"/>
        </w:rPr>
        <w:t xml:space="preserve"> guesses/sec. All displays state that these are illustrative upper-bound calculations [13].</w:t>
      </w:r>
    </w:p>
    <w:p>
      <w:pPr>
        <w:pStyle w:val="Heading1"/>
        <w:keepNext/>
        <w:spacing w:before="160" w:after="50"/>
        <w:jc w:val="left"/>
      </w:pPr>
      <w:r>
        <w:rPr>
          <w:rFonts w:ascii="Times New Roman" w:hAnsi="Times New Roman"/>
          <w:b/>
          <w:sz w:val="22"/>
        </w:rPr>
        <w:t>SYSTEM DESIGN AND IMPLEMENTATION</w:t>
      </w:r>
    </w:p>
    <w:p>
      <w:pPr>
        <w:pStyle w:val="Heading2"/>
        <w:keepNext/>
        <w:spacing w:before="120" w:after="40"/>
        <w:jc w:val="left"/>
      </w:pPr>
      <w:r>
        <w:rPr>
          <w:rFonts w:ascii="Times New Roman" w:hAnsi="Times New Roman"/>
          <w:b/>
          <w:sz w:val="20"/>
        </w:rPr>
        <w:t>Architecture Overview</w:t>
      </w:r>
    </w:p>
    <w:p>
      <w:pPr>
        <w:spacing w:before="0" w:after="60" w:line="252" w:lineRule="auto"/>
        <w:jc w:val="both"/>
      </w:pPr>
      <w:r>
        <w:rPr>
          <w:rFonts w:ascii="Times New Roman" w:hAnsi="Times New Roman"/>
          <w:sz w:val="18"/>
        </w:rPr>
        <w:t>PasswordGuard is engineered as a responsive Single-Page Application leveraging React 19, TypeScript, and Vite. The architecture maintains a strict decoupling between heuristic analysis, cryptographic simulation, and data visualization, operating entirely within client memory.</w:t>
      </w:r>
    </w:p>
    <w:p>
      <w:pPr>
        <w:keepNext/>
        <w:spacing w:before="80" w:after="30"/>
        <w:jc w:val="center"/>
      </w:pPr>
      <w:r>
        <w:drawing>
          <wp:inline xmlns:a="http://schemas.openxmlformats.org/drawingml/2006/main" xmlns:pic="http://schemas.openxmlformats.org/drawingml/2006/picture">
            <wp:extent cx="3017520" cy="1609344"/>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20"/>
                    <a:stretch>
                      <a:fillRect/>
                    </a:stretch>
                  </pic:blipFill>
                  <pic:spPr>
                    <a:xfrm>
                      <a:off x="0" y="0"/>
                      <a:ext cx="3017520" cy="1609344"/>
                    </a:xfrm>
                    <a:prstGeom prst="rect"/>
                  </pic:spPr>
                </pic:pic>
              </a:graphicData>
            </a:graphic>
          </wp:inline>
        </w:drawing>
      </w:r>
    </w:p>
    <w:p>
      <w:pPr>
        <w:pStyle w:val="Caption"/>
        <w:spacing w:before="30" w:after="100"/>
        <w:jc w:val="center"/>
      </w:pPr>
      <w:r>
        <w:rPr>
          <w:rFonts w:ascii="Times New Roman" w:hAnsi="Times New Roman"/>
          <w:b/>
          <w:sz w:val="17"/>
        </w:rPr>
        <w:t>Figure 1. Architectural overview of the PasswordGuard client-side analysis and simulation pipeline.</w:t>
      </w:r>
    </w:p>
    <w:p>
      <w:pPr>
        <w:pStyle w:val="Heading2"/>
        <w:keepNext/>
        <w:spacing w:before="120" w:after="40"/>
        <w:jc w:val="left"/>
      </w:pPr>
      <w:r>
        <w:rPr>
          <w:rFonts w:ascii="Times New Roman" w:hAnsi="Times New Roman"/>
          <w:b/>
          <w:sz w:val="20"/>
        </w:rPr>
        <w:t>Core Modules</w:t>
      </w:r>
    </w:p>
    <w:p>
      <w:pPr>
        <w:spacing w:before="0" w:after="60" w:line="252" w:lineRule="auto"/>
        <w:jc w:val="both"/>
      </w:pPr>
      <w:r>
        <w:rPr>
          <w:rFonts w:ascii="Times New Roman" w:hAnsi="Times New Roman"/>
          <w:b/>
          <w:sz w:val="18"/>
        </w:rPr>
        <w:t>1. Analysis Engine (`passwordAnalyzer.ts`):</w:t>
      </w:r>
      <w:r>
        <w:rPr>
          <w:rFonts w:ascii="Times New Roman" w:hAnsi="Times New Roman"/>
          <w:sz w:val="18"/>
        </w:rPr>
        <w:t xml:space="preserve"> Evaluates candidate strings deterministically, returning pool size </w:t>
      </w:r>
      <w:r>
        <w:rPr>
          <w:rFonts w:ascii="Times New Roman" w:hAnsi="Times New Roman"/>
          <w:i/>
          <w:sz w:val="18"/>
        </w:rPr>
        <w:t>R</w:t>
      </w:r>
      <w:r>
        <w:rPr>
          <w:rFonts w:ascii="Times New Roman" w:hAnsi="Times New Roman"/>
          <w:sz w:val="18"/>
        </w:rPr>
        <w:t xml:space="preserve">, diversity flags, vulnerability triggers, 0–100 heuristic score, theoretical entropy, and log-space search space </w:t>
      </w:r>
      <w:r>
        <w:rPr>
          <w:rFonts w:ascii="Times New Roman" w:hAnsi="Times New Roman"/>
          <w:i/>
          <w:sz w:val="18"/>
        </w:rPr>
        <w:t>log₁₀(R^L)</w:t>
      </w:r>
      <w:r>
        <w:rPr>
          <w:rFonts w:ascii="Times New Roman" w:hAnsi="Times New Roman"/>
          <w:sz w:val="18"/>
        </w:rPr>
        <w:t xml:space="preserve"> with overflow protection.</w:t>
      </w:r>
    </w:p>
    <w:p>
      <w:pPr>
        <w:spacing w:before="0" w:after="60" w:line="252" w:lineRule="auto"/>
        <w:jc w:val="both"/>
      </w:pPr>
      <w:r>
        <w:rPr>
          <w:rFonts w:ascii="Times New Roman" w:hAnsi="Times New Roman"/>
          <w:b/>
          <w:sz w:val="18"/>
        </w:rPr>
        <w:t>2. Cryptographic Sandbox (`cryptoDemo.ts`):</w:t>
      </w:r>
      <w:r>
        <w:rPr>
          <w:rFonts w:ascii="Times New Roman" w:hAnsi="Times New Roman"/>
          <w:sz w:val="18"/>
        </w:rPr>
        <w:t xml:space="preserve"> Interacts directly with </w:t>
      </w:r>
      <w:r>
        <w:rPr>
          <w:rFonts w:ascii="Courier New" w:hAnsi="Courier New"/>
          <w:sz w:val="17"/>
        </w:rPr>
        <w:t>window.crypto.subtle.digest('SHA-256')</w:t>
      </w:r>
      <w:r>
        <w:rPr>
          <w:rFonts w:ascii="Times New Roman" w:hAnsi="Times New Roman"/>
          <w:sz w:val="18"/>
        </w:rPr>
        <w:t xml:space="preserve"> and 16-byte salts from </w:t>
      </w:r>
      <w:r>
        <w:rPr>
          <w:rFonts w:ascii="Courier New" w:hAnsi="Courier New"/>
          <w:sz w:val="17"/>
        </w:rPr>
        <w:t>window.crypto.getRandomValues()</w:t>
      </w:r>
      <w:r>
        <w:rPr>
          <w:rFonts w:ascii="Times New Roman" w:hAnsi="Times New Roman"/>
          <w:sz w:val="18"/>
        </w:rPr>
        <w:t xml:space="preserve"> to provide live, interactive side-by-side comparisons of raw vs. salted hash digests.</w:t>
      </w:r>
    </w:p>
    <w:p>
      <w:pPr>
        <w:spacing w:before="0" w:after="60" w:line="252" w:lineRule="auto"/>
        <w:jc w:val="both"/>
      </w:pPr>
      <w:r>
        <w:rPr>
          <w:rFonts w:ascii="Times New Roman" w:hAnsi="Times New Roman"/>
          <w:b/>
          <w:sz w:val="18"/>
        </w:rPr>
        <w:t>3. Visualization Layer:</w:t>
      </w:r>
      <w:r>
        <w:rPr>
          <w:rFonts w:ascii="Times New Roman" w:hAnsi="Times New Roman"/>
          <w:sz w:val="18"/>
        </w:rPr>
        <w:t xml:space="preserve"> Built with Vanilla CSS dark themes and Recharts data visualization, rendering dynamic score meters, checklists, and experimental distributions.</w:t>
      </w:r>
    </w:p>
    <w:p>
      <w:pPr>
        <w:pStyle w:val="Heading1"/>
        <w:keepNext/>
        <w:spacing w:before="160" w:after="50"/>
        <w:jc w:val="left"/>
      </w:pPr>
      <w:r>
        <w:rPr>
          <w:rFonts w:ascii="Times New Roman" w:hAnsi="Times New Roman"/>
          <w:b/>
          <w:sz w:val="22"/>
        </w:rPr>
        <w:t>EXPERIMENTAL SETUP</w:t>
      </w:r>
    </w:p>
    <w:p>
      <w:pPr>
        <w:pStyle w:val="Heading2"/>
        <w:keepNext/>
        <w:spacing w:before="120" w:after="40"/>
        <w:jc w:val="left"/>
      </w:pPr>
      <w:r>
        <w:rPr>
          <w:rFonts w:ascii="Times New Roman" w:hAnsi="Times New Roman"/>
          <w:b/>
          <w:sz w:val="20"/>
        </w:rPr>
        <w:t>Objective of the Experiment</w:t>
      </w:r>
    </w:p>
    <w:p>
      <w:pPr>
        <w:spacing w:before="0" w:after="60" w:line="252" w:lineRule="auto"/>
        <w:jc w:val="both"/>
      </w:pPr>
      <w:r>
        <w:rPr>
          <w:rFonts w:ascii="Times New Roman" w:hAnsi="Times New Roman"/>
          <w:sz w:val="18"/>
        </w:rPr>
        <w:t>The experimental evaluation assesses whether the implemented PasswordGuard heuristic behaves consistently with its design rules across controlled structural categories. It evaluates internal scoring consistency rather than serving as an independent cracking benchmark.</w:t>
      </w:r>
    </w:p>
    <w:p>
      <w:pPr>
        <w:pStyle w:val="Heading2"/>
        <w:keepNext/>
        <w:spacing w:before="120" w:after="40"/>
        <w:jc w:val="left"/>
      </w:pPr>
      <w:r>
        <w:rPr>
          <w:rFonts w:ascii="Times New Roman" w:hAnsi="Times New Roman"/>
          <w:b/>
          <w:sz w:val="20"/>
        </w:rPr>
        <w:t>Synthetic Dataset Construction</w:t>
      </w:r>
    </w:p>
    <w:p>
      <w:pPr>
        <w:spacing w:before="0" w:after="60" w:line="252" w:lineRule="auto"/>
        <w:jc w:val="both"/>
      </w:pPr>
      <w:r>
        <w:rPr>
          <w:rFonts w:ascii="Times New Roman" w:hAnsi="Times New Roman"/>
          <w:sz w:val="18"/>
        </w:rPr>
        <w:t>To eliminate ethical and privacy risks of handling real credentials [5, 14], a reproducible dataset of 150 synthetic passwords was constructed, evenly divided into five categories (</w:t>
      </w:r>
      <w:r>
        <w:rPr>
          <w:rFonts w:ascii="Times New Roman" w:hAnsi="Times New Roman"/>
          <w:i/>
          <w:sz w:val="18"/>
        </w:rPr>
        <w:t>n = 30</w:t>
      </w:r>
      <w:r>
        <w:rPr>
          <w:rFonts w:ascii="Times New Roman" w:hAnsi="Times New Roman"/>
          <w:sz w:val="18"/>
        </w:rPr>
        <w:t xml:space="preserve"> each):</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Category A (Short Simple, L ∈ [3, 5]):</w:t>
      </w:r>
      <w:r>
        <w:rPr>
          <w:rFonts w:ascii="Times New Roman" w:hAnsi="Times New Roman"/>
          <w:sz w:val="18"/>
        </w:rPr>
        <w:t xml:space="preserve"> 3–5 letter words, occasionally with a digit (e.g., </w:t>
      </w:r>
      <w:r>
        <w:rPr>
          <w:rFonts w:ascii="Courier New" w:hAnsi="Courier New"/>
          <w:sz w:val="17"/>
        </w:rPr>
        <w:t>cat</w:t>
      </w:r>
      <w:r>
        <w:rPr>
          <w:rFonts w:ascii="Times New Roman" w:hAnsi="Times New Roman"/>
          <w:sz w:val="18"/>
        </w:rPr>
        <w:t xml:space="preserve">, </w:t>
      </w:r>
      <w:r>
        <w:rPr>
          <w:rFonts w:ascii="Courier New" w:hAnsi="Courier New"/>
          <w:sz w:val="17"/>
        </w:rPr>
        <w:t>dog</w:t>
      </w:r>
      <w:r>
        <w:rPr>
          <w:rFonts w:ascii="Times New Roman" w:hAnsi="Times New Roman"/>
          <w:sz w:val="18"/>
        </w:rPr>
        <w:t xml:space="preserve">, </w:t>
      </w:r>
      <w:r>
        <w:rPr>
          <w:rFonts w:ascii="Courier New" w:hAnsi="Courier New"/>
          <w:sz w:val="17"/>
        </w:rPr>
        <w:t>sun</w:t>
      </w:r>
      <w:r>
        <w:rPr>
          <w:rFonts w:ascii="Times New Roman" w:hAnsi="Times New Roman"/>
          <w:sz w:val="18"/>
        </w:rPr>
        <w:t xml:space="preserve">, </w:t>
      </w:r>
      <w:r>
        <w:rPr>
          <w:rFonts w:ascii="Courier New" w:hAnsi="Courier New"/>
          <w:sz w:val="17"/>
        </w:rPr>
        <w:t>red2</w:t>
      </w:r>
      <w:r>
        <w:rPr>
          <w:rFonts w:ascii="Times New Roman" w:hAnsi="Times New Roman"/>
          <w:sz w:val="18"/>
        </w:rPr>
        <w:t>).</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Category B (Common Pattern, L ∈ [8, 12]):</w:t>
      </w:r>
      <w:r>
        <w:rPr>
          <w:rFonts w:ascii="Times New Roman" w:hAnsi="Times New Roman"/>
          <w:sz w:val="18"/>
        </w:rPr>
        <w:t xml:space="preserve"> Dictionary roots, capitalized initials, sequential digits and symbols (e.g., </w:t>
      </w:r>
      <w:r>
        <w:rPr>
          <w:rFonts w:ascii="Courier New" w:hAnsi="Courier New"/>
          <w:sz w:val="17"/>
        </w:rPr>
        <w:t>password123</w:t>
      </w:r>
      <w:r>
        <w:rPr>
          <w:rFonts w:ascii="Times New Roman" w:hAnsi="Times New Roman"/>
          <w:sz w:val="18"/>
        </w:rPr>
        <w:t xml:space="preserve">, </w:t>
      </w:r>
      <w:r>
        <w:rPr>
          <w:rFonts w:ascii="Courier New" w:hAnsi="Courier New"/>
          <w:sz w:val="17"/>
        </w:rPr>
        <w:t>admin2024!</w:t>
      </w:r>
      <w:r>
        <w:rPr>
          <w:rFonts w:ascii="Times New Roman" w:hAnsi="Times New Roman"/>
          <w:sz w:val="18"/>
        </w:rPr>
        <w:t xml:space="preserve">, </w:t>
      </w:r>
      <w:r>
        <w:rPr>
          <w:rFonts w:ascii="Courier New" w:hAnsi="Courier New"/>
          <w:sz w:val="17"/>
        </w:rPr>
        <w:t>qwerty12345</w:t>
      </w:r>
      <w:r>
        <w:rPr>
          <w:rFonts w:ascii="Times New Roman" w:hAnsi="Times New Roman"/>
          <w:sz w:val="18"/>
        </w:rPr>
        <w:t>).</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Category C (Medium Complexity, L ∈ [11, 15]):</w:t>
      </w:r>
      <w:r>
        <w:rPr>
          <w:rFonts w:ascii="Times New Roman" w:hAnsi="Times New Roman"/>
          <w:sz w:val="18"/>
        </w:rPr>
        <w:t xml:space="preserve"> Mixed alphanumeric strings with symbols adhering to corporate rules (e.g., </w:t>
      </w:r>
      <w:r>
        <w:rPr>
          <w:rFonts w:ascii="Courier New" w:hAnsi="Courier New"/>
          <w:sz w:val="17"/>
        </w:rPr>
        <w:t>BlueSky#49</w:t>
      </w:r>
      <w:r>
        <w:rPr>
          <w:rFonts w:ascii="Times New Roman" w:hAnsi="Times New Roman"/>
          <w:sz w:val="18"/>
        </w:rPr>
        <w:t xml:space="preserve">, </w:t>
      </w:r>
      <w:r>
        <w:rPr>
          <w:rFonts w:ascii="Courier New" w:hAnsi="Courier New"/>
          <w:sz w:val="17"/>
        </w:rPr>
        <w:t>Silver!Fox82</w:t>
      </w:r>
      <w:r>
        <w:rPr>
          <w:rFonts w:ascii="Times New Roman" w:hAnsi="Times New Roman"/>
          <w:sz w:val="18"/>
        </w:rPr>
        <w:t>).</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Category D (Long Passphrase, L ∈ [25, 36]):</w:t>
      </w:r>
      <w:r>
        <w:rPr>
          <w:rFonts w:ascii="Times New Roman" w:hAnsi="Times New Roman"/>
          <w:sz w:val="18"/>
        </w:rPr>
        <w:t xml:space="preserve"> Multi-word phrases separated by hyphens (e.g., </w:t>
      </w:r>
      <w:r>
        <w:rPr>
          <w:rFonts w:ascii="Courier New" w:hAnsi="Courier New"/>
          <w:sz w:val="17"/>
        </w:rPr>
        <w:t>correct-horse-battery-staple</w:t>
      </w:r>
      <w:r>
        <w:rPr>
          <w:rFonts w:ascii="Times New Roman" w:hAnsi="Times New Roman"/>
          <w:sz w:val="18"/>
        </w:rPr>
        <w:t xml:space="preserve">, </w:t>
      </w:r>
      <w:r>
        <w:rPr>
          <w:rFonts w:ascii="Courier New" w:hAnsi="Courier New"/>
          <w:sz w:val="17"/>
        </w:rPr>
        <w:t>blue-mountains-whisper-softly</w:t>
      </w:r>
      <w:r>
        <w:rPr>
          <w:rFonts w:ascii="Times New Roman" w:hAnsi="Times New Roman"/>
          <w:sz w:val="18"/>
        </w:rPr>
        <w:t>).</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Category E (Long Random, L = 16):</w:t>
      </w:r>
      <w:r>
        <w:rPr>
          <w:rFonts w:ascii="Times New Roman" w:hAnsi="Times New Roman"/>
          <w:sz w:val="18"/>
        </w:rPr>
        <w:t xml:space="preserve"> 16-character pseudo-random strings across all 4 character pools (e.g., </w:t>
      </w:r>
      <w:r>
        <w:rPr>
          <w:rFonts w:ascii="Courier New" w:hAnsi="Courier New"/>
          <w:sz w:val="17"/>
        </w:rPr>
        <w:t>7$zW#9!kLp&amp;2Qx@m</w:t>
      </w:r>
      <w:r>
        <w:rPr>
          <w:rFonts w:ascii="Times New Roman" w:hAnsi="Times New Roman"/>
          <w:sz w:val="18"/>
        </w:rPr>
        <w:t>).</w:t>
      </w:r>
    </w:p>
    <w:p>
      <w:pPr>
        <w:pStyle w:val="Heading2"/>
        <w:keepNext/>
        <w:spacing w:before="120" w:after="40"/>
        <w:jc w:val="left"/>
      </w:pPr>
      <w:r>
        <w:rPr>
          <w:rFonts w:ascii="Times New Roman" w:hAnsi="Times New Roman"/>
          <w:b/>
          <w:sz w:val="20"/>
        </w:rPr>
        <w:t>Evaluation Metrics</w:t>
      </w:r>
    </w:p>
    <w:p>
      <w:pPr>
        <w:spacing w:before="0" w:after="60" w:line="252" w:lineRule="auto"/>
        <w:jc w:val="both"/>
      </w:pPr>
      <w:r>
        <w:rPr>
          <w:rFonts w:ascii="Times New Roman" w:hAnsi="Times New Roman"/>
          <w:sz w:val="18"/>
        </w:rPr>
        <w:t>Each password was processed programmatically, recording character length (</w:t>
      </w:r>
      <w:r>
        <w:rPr>
          <w:rFonts w:ascii="Times New Roman" w:hAnsi="Times New Roman"/>
          <w:i/>
          <w:sz w:val="18"/>
        </w:rPr>
        <w:t>L</w:t>
      </w:r>
      <w:r>
        <w:rPr>
          <w:rFonts w:ascii="Times New Roman" w:hAnsi="Times New Roman"/>
          <w:sz w:val="18"/>
        </w:rPr>
        <w:t>), diversity count (</w:t>
      </w:r>
      <w:r>
        <w:rPr>
          <w:rFonts w:ascii="Times New Roman" w:hAnsi="Times New Roman"/>
          <w:i/>
          <w:sz w:val="18"/>
        </w:rPr>
        <w:t>D ∈ [1, 4]</w:t>
      </w:r>
      <w:r>
        <w:rPr>
          <w:rFonts w:ascii="Times New Roman" w:hAnsi="Times New Roman"/>
          <w:sz w:val="18"/>
        </w:rPr>
        <w:t>), heuristic score (</w:t>
      </w:r>
      <w:r>
        <w:rPr>
          <w:rFonts w:ascii="Times New Roman" w:hAnsi="Times New Roman"/>
          <w:i/>
          <w:sz w:val="18"/>
        </w:rPr>
        <w:t>S ∈ [0, 100]</w:t>
      </w:r>
      <w:r>
        <w:rPr>
          <w:rFonts w:ascii="Times New Roman" w:hAnsi="Times New Roman"/>
          <w:sz w:val="18"/>
        </w:rPr>
        <w:t>), theoretical entropy estimate (</w:t>
      </w:r>
      <w:r>
        <w:rPr>
          <w:rFonts w:ascii="Times New Roman" w:hAnsi="Times New Roman"/>
          <w:i/>
          <w:sz w:val="18"/>
        </w:rPr>
        <w:t>E</w:t>
      </w:r>
      <w:r>
        <w:rPr>
          <w:rFonts w:ascii="Times New Roman" w:hAnsi="Times New Roman"/>
          <w:sz w:val="18"/>
        </w:rPr>
        <w:t xml:space="preserve"> in bits), and categorical tier classification.</w:t>
      </w:r>
    </w:p>
    <w:p>
      <w:pPr>
        <w:pStyle w:val="Heading1"/>
        <w:keepNext/>
        <w:spacing w:before="160" w:after="50"/>
        <w:jc w:val="left"/>
      </w:pPr>
      <w:r>
        <w:rPr>
          <w:rFonts w:ascii="Times New Roman" w:hAnsi="Times New Roman"/>
          <w:b/>
          <w:sz w:val="22"/>
        </w:rPr>
        <w:t>EXPERIMENTAL RESULTS</w:t>
      </w:r>
    </w:p>
    <w:p>
      <w:pPr>
        <w:spacing w:before="0" w:after="60" w:line="252" w:lineRule="auto"/>
        <w:jc w:val="both"/>
      </w:pPr>
      <w:r>
        <w:rPr>
          <w:rFonts w:ascii="Times New Roman" w:hAnsi="Times New Roman"/>
          <w:sz w:val="18"/>
        </w:rPr>
        <w:t>The experimental evaluation executed across all 150 synthetic samples without error. The aggregated numerical findings are documented in Table 1.</w:t>
      </w:r>
    </w:p>
    <w:p>
      <w:pPr>
        <w:pStyle w:val="Caption"/>
        <w:keepNext/>
        <w:spacing w:before="80" w:after="40"/>
        <w:jc w:val="center"/>
      </w:pPr>
      <w:r>
        <w:rPr>
          <w:rFonts w:ascii="Times New Roman" w:hAnsi="Times New Roman"/>
          <w:b/>
          <w:sz w:val="17"/>
        </w:rPr>
        <w:t>Table 1. Aggregated PasswordGuard Heuristic Evaluation Results by Category (N = 150)</w:t>
      </w:r>
    </w:p>
    <w:tbl>
      <w:tblPr>
        <w:tblW w:type="auto" w:w="0"/>
        <w:jc w:val="center"/>
        <w:tblLayout w:type="fixed"/>
        <w:tblLook w:firstColumn="1" w:firstRow="1" w:lastColumn="0" w:lastRow="0" w:noHBand="0" w:noVBand="1" w:val="04A0"/>
      </w:tblPr>
      <w:tblGrid>
        <w:gridCol w:w="1260"/>
        <w:gridCol w:w="1260"/>
        <w:gridCol w:w="1260"/>
        <w:gridCol w:w="1260"/>
        <w:gridCol w:w="1260"/>
        <w:gridCol w:w="1260"/>
        <w:gridCol w:w="1260"/>
        <w:gridCol w:w="1260"/>
      </w:tblGrid>
      <w:tr>
        <w:tc>
          <w:tcPr>
            <w:tcW w:type="dxa" w:w="504"/>
            <w:shd w:fill="e2e8f0"/>
          </w:tcPr>
          <w:p>
            <w:pPr>
              <w:spacing w:before="20" w:after="20"/>
              <w:jc w:val="center"/>
            </w:pPr>
            <w:r/>
            <w:r>
              <w:rPr>
                <w:rFonts w:ascii="Times New Roman" w:hAnsi="Times New Roman"/>
                <w:b/>
                <w:sz w:val="15"/>
              </w:rPr>
              <w:t>Cat</w:t>
            </w:r>
          </w:p>
        </w:tc>
        <w:tc>
          <w:tcPr>
            <w:tcW w:type="dxa" w:w="1224"/>
            <w:shd w:fill="e2e8f0"/>
          </w:tcPr>
          <w:p>
            <w:pPr>
              <w:spacing w:before="20" w:after="20"/>
              <w:jc w:val="center"/>
            </w:pPr>
            <w:r/>
            <w:r>
              <w:rPr>
                <w:rFonts w:ascii="Times New Roman" w:hAnsi="Times New Roman"/>
                <w:b/>
                <w:sz w:val="15"/>
              </w:rPr>
              <w:t>Description</w:t>
            </w:r>
          </w:p>
        </w:tc>
        <w:tc>
          <w:tcPr>
            <w:tcW w:type="dxa" w:w="403"/>
            <w:shd w:fill="e2e8f0"/>
          </w:tcPr>
          <w:p>
            <w:pPr>
              <w:spacing w:before="20" w:after="20"/>
              <w:jc w:val="center"/>
            </w:pPr>
            <w:r/>
            <w:r>
              <w:rPr>
                <w:rFonts w:ascii="Times New Roman" w:hAnsi="Times New Roman"/>
                <w:b/>
                <w:sz w:val="15"/>
              </w:rPr>
              <w:t>n</w:t>
            </w:r>
          </w:p>
        </w:tc>
        <w:tc>
          <w:tcPr>
            <w:tcW w:type="dxa" w:w="547"/>
            <w:shd w:fill="e2e8f0"/>
          </w:tcPr>
          <w:p>
            <w:pPr>
              <w:spacing w:before="20" w:after="20"/>
              <w:jc w:val="center"/>
            </w:pPr>
            <w:r/>
            <w:r>
              <w:rPr>
                <w:rFonts w:ascii="Times New Roman" w:hAnsi="Times New Roman"/>
                <w:b/>
                <w:sz w:val="15"/>
              </w:rPr>
              <w:t>Mean L</w:t>
            </w:r>
          </w:p>
        </w:tc>
        <w:tc>
          <w:tcPr>
            <w:tcW w:type="dxa" w:w="461"/>
            <w:shd w:fill="e2e8f0"/>
          </w:tcPr>
          <w:p>
            <w:pPr>
              <w:spacing w:before="20" w:after="20"/>
              <w:jc w:val="center"/>
            </w:pPr>
            <w:r/>
            <w:r>
              <w:rPr>
                <w:rFonts w:ascii="Times New Roman" w:hAnsi="Times New Roman"/>
                <w:b/>
                <w:sz w:val="15"/>
              </w:rPr>
              <w:t>Div.</w:t>
            </w:r>
          </w:p>
        </w:tc>
        <w:tc>
          <w:tcPr>
            <w:tcW w:type="dxa" w:w="547"/>
            <w:shd w:fill="e2e8f0"/>
          </w:tcPr>
          <w:p>
            <w:pPr>
              <w:spacing w:before="20" w:after="20"/>
              <w:jc w:val="center"/>
            </w:pPr>
            <w:r/>
            <w:r>
              <w:rPr>
                <w:rFonts w:ascii="Times New Roman" w:hAnsi="Times New Roman"/>
                <w:b/>
                <w:sz w:val="15"/>
              </w:rPr>
              <w:t>Score</w:t>
            </w:r>
          </w:p>
        </w:tc>
        <w:tc>
          <w:tcPr>
            <w:tcW w:type="dxa" w:w="662"/>
            <w:shd w:fill="e2e8f0"/>
          </w:tcPr>
          <w:p>
            <w:pPr>
              <w:spacing w:before="20" w:after="20"/>
              <w:jc w:val="center"/>
            </w:pPr>
            <w:r/>
            <w:r>
              <w:rPr>
                <w:rFonts w:ascii="Times New Roman" w:hAnsi="Times New Roman"/>
                <w:b/>
                <w:sz w:val="15"/>
              </w:rPr>
              <w:t>Entropy</w:t>
            </w:r>
          </w:p>
        </w:tc>
        <w:tc>
          <w:tcPr>
            <w:tcW w:type="dxa" w:w="1238"/>
            <w:shd w:fill="e2e8f0"/>
          </w:tcPr>
          <w:p>
            <w:pPr>
              <w:spacing w:before="20" w:after="20"/>
              <w:jc w:val="center"/>
            </w:pPr>
            <w:r/>
            <w:r>
              <w:rPr>
                <w:rFonts w:ascii="Times New Roman" w:hAnsi="Times New Roman"/>
                <w:b/>
                <w:sz w:val="15"/>
              </w:rPr>
              <w:t>Tier Dist.</w:t>
            </w:r>
          </w:p>
        </w:tc>
      </w:tr>
      <w:tr>
        <w:tc>
          <w:tcPr>
            <w:tcW w:type="dxa" w:w="504"/>
            <w:shd w:fill="ffffff"/>
          </w:tcPr>
          <w:p>
            <w:pPr>
              <w:spacing w:before="20" w:after="20"/>
              <w:jc w:val="center"/>
            </w:pPr>
            <w:r/>
            <w:r>
              <w:rPr>
                <w:rFonts w:ascii="Times New Roman" w:hAnsi="Times New Roman"/>
                <w:b/>
                <w:sz w:val="15"/>
              </w:rPr>
              <w:t>A</w:t>
            </w:r>
          </w:p>
        </w:tc>
        <w:tc>
          <w:tcPr>
            <w:tcW w:type="dxa" w:w="1224"/>
            <w:shd w:fill="ffffff"/>
          </w:tcPr>
          <w:p>
            <w:pPr>
              <w:spacing w:before="20" w:after="20"/>
              <w:jc w:val="center"/>
            </w:pPr>
            <w:r/>
            <w:r>
              <w:rPr>
                <w:rFonts w:ascii="Times New Roman" w:hAnsi="Times New Roman"/>
                <w:b w:val="0"/>
                <w:sz w:val="15"/>
              </w:rPr>
              <w:t>Short Simple</w:t>
            </w:r>
          </w:p>
        </w:tc>
        <w:tc>
          <w:tcPr>
            <w:tcW w:type="dxa" w:w="403"/>
            <w:shd w:fill="ffffff"/>
          </w:tcPr>
          <w:p>
            <w:pPr>
              <w:spacing w:before="20" w:after="20"/>
              <w:jc w:val="center"/>
            </w:pPr>
            <w:r/>
            <w:r>
              <w:rPr>
                <w:rFonts w:ascii="Times New Roman" w:hAnsi="Times New Roman"/>
                <w:b w:val="0"/>
                <w:sz w:val="15"/>
              </w:rPr>
              <w:t>30</w:t>
            </w:r>
          </w:p>
        </w:tc>
        <w:tc>
          <w:tcPr>
            <w:tcW w:type="dxa" w:w="547"/>
            <w:shd w:fill="ffffff"/>
          </w:tcPr>
          <w:p>
            <w:pPr>
              <w:spacing w:before="20" w:after="20"/>
              <w:jc w:val="center"/>
            </w:pPr>
            <w:r/>
            <w:r>
              <w:rPr>
                <w:rFonts w:ascii="Times New Roman" w:hAnsi="Times New Roman"/>
                <w:b w:val="0"/>
                <w:sz w:val="15"/>
              </w:rPr>
              <w:t>4.2</w:t>
            </w:r>
          </w:p>
        </w:tc>
        <w:tc>
          <w:tcPr>
            <w:tcW w:type="dxa" w:w="461"/>
            <w:shd w:fill="ffffff"/>
          </w:tcPr>
          <w:p>
            <w:pPr>
              <w:spacing w:before="20" w:after="20"/>
              <w:jc w:val="center"/>
            </w:pPr>
            <w:r/>
            <w:r>
              <w:rPr>
                <w:rFonts w:ascii="Times New Roman" w:hAnsi="Times New Roman"/>
                <w:b w:val="0"/>
                <w:sz w:val="15"/>
              </w:rPr>
              <w:t>1.5</w:t>
            </w:r>
          </w:p>
        </w:tc>
        <w:tc>
          <w:tcPr>
            <w:tcW w:type="dxa" w:w="547"/>
            <w:shd w:fill="ffffff"/>
          </w:tcPr>
          <w:p>
            <w:pPr>
              <w:spacing w:before="20" w:after="20"/>
              <w:jc w:val="center"/>
            </w:pPr>
            <w:r/>
            <w:r>
              <w:rPr>
                <w:rFonts w:ascii="Times New Roman" w:hAnsi="Times New Roman"/>
                <w:b/>
                <w:sz w:val="15"/>
              </w:rPr>
              <w:t>2.0</w:t>
            </w:r>
          </w:p>
        </w:tc>
        <w:tc>
          <w:tcPr>
            <w:tcW w:type="dxa" w:w="662"/>
            <w:shd w:fill="ffffff"/>
          </w:tcPr>
          <w:p>
            <w:pPr>
              <w:spacing w:before="20" w:after="20"/>
              <w:jc w:val="center"/>
            </w:pPr>
            <w:r/>
            <w:r>
              <w:rPr>
                <w:rFonts w:ascii="Times New Roman" w:hAnsi="Times New Roman"/>
                <w:b w:val="0"/>
                <w:sz w:val="15"/>
              </w:rPr>
              <w:t>20.8 b</w:t>
            </w:r>
          </w:p>
        </w:tc>
        <w:tc>
          <w:tcPr>
            <w:tcW w:type="dxa" w:w="1238"/>
            <w:shd w:fill="ffffff"/>
          </w:tcPr>
          <w:p>
            <w:pPr>
              <w:spacing w:before="20" w:after="20"/>
              <w:jc w:val="center"/>
            </w:pPr>
            <w:r/>
            <w:r>
              <w:rPr>
                <w:rFonts w:ascii="Times New Roman" w:hAnsi="Times New Roman"/>
                <w:b w:val="0"/>
                <w:sz w:val="15"/>
              </w:rPr>
              <w:t>100% Weak</w:t>
            </w:r>
          </w:p>
        </w:tc>
      </w:tr>
      <w:tr>
        <w:tc>
          <w:tcPr>
            <w:tcW w:type="dxa" w:w="504"/>
            <w:shd w:fill="f8fafc"/>
          </w:tcPr>
          <w:p>
            <w:pPr>
              <w:spacing w:before="20" w:after="20"/>
              <w:jc w:val="center"/>
            </w:pPr>
            <w:r/>
            <w:r>
              <w:rPr>
                <w:rFonts w:ascii="Times New Roman" w:hAnsi="Times New Roman"/>
                <w:b/>
                <w:sz w:val="15"/>
              </w:rPr>
              <w:t>B</w:t>
            </w:r>
          </w:p>
        </w:tc>
        <w:tc>
          <w:tcPr>
            <w:tcW w:type="dxa" w:w="1224"/>
            <w:shd w:fill="f8fafc"/>
          </w:tcPr>
          <w:p>
            <w:pPr>
              <w:spacing w:before="20" w:after="20"/>
              <w:jc w:val="center"/>
            </w:pPr>
            <w:r/>
            <w:r>
              <w:rPr>
                <w:rFonts w:ascii="Times New Roman" w:hAnsi="Times New Roman"/>
                <w:b w:val="0"/>
                <w:sz w:val="15"/>
              </w:rPr>
              <w:t>Common Pattern</w:t>
            </w:r>
          </w:p>
        </w:tc>
        <w:tc>
          <w:tcPr>
            <w:tcW w:type="dxa" w:w="403"/>
            <w:shd w:fill="f8fafc"/>
          </w:tcPr>
          <w:p>
            <w:pPr>
              <w:spacing w:before="20" w:after="20"/>
              <w:jc w:val="center"/>
            </w:pPr>
            <w:r/>
            <w:r>
              <w:rPr>
                <w:rFonts w:ascii="Times New Roman" w:hAnsi="Times New Roman"/>
                <w:b w:val="0"/>
                <w:sz w:val="15"/>
              </w:rPr>
              <w:t>30</w:t>
            </w:r>
          </w:p>
        </w:tc>
        <w:tc>
          <w:tcPr>
            <w:tcW w:type="dxa" w:w="547"/>
            <w:shd w:fill="f8fafc"/>
          </w:tcPr>
          <w:p>
            <w:pPr>
              <w:spacing w:before="20" w:after="20"/>
              <w:jc w:val="center"/>
            </w:pPr>
            <w:r/>
            <w:r>
              <w:rPr>
                <w:rFonts w:ascii="Times New Roman" w:hAnsi="Times New Roman"/>
                <w:b w:val="0"/>
                <w:sz w:val="15"/>
              </w:rPr>
              <w:t>9.6</w:t>
            </w:r>
          </w:p>
        </w:tc>
        <w:tc>
          <w:tcPr>
            <w:tcW w:type="dxa" w:w="461"/>
            <w:shd w:fill="f8fafc"/>
          </w:tcPr>
          <w:p>
            <w:pPr>
              <w:spacing w:before="20" w:after="20"/>
              <w:jc w:val="center"/>
            </w:pPr>
            <w:r/>
            <w:r>
              <w:rPr>
                <w:rFonts w:ascii="Times New Roman" w:hAnsi="Times New Roman"/>
                <w:b w:val="0"/>
                <w:sz w:val="15"/>
              </w:rPr>
              <w:t>2.2</w:t>
            </w:r>
          </w:p>
        </w:tc>
        <w:tc>
          <w:tcPr>
            <w:tcW w:type="dxa" w:w="547"/>
            <w:shd w:fill="f8fafc"/>
          </w:tcPr>
          <w:p>
            <w:pPr>
              <w:spacing w:before="20" w:after="20"/>
              <w:jc w:val="center"/>
            </w:pPr>
            <w:r/>
            <w:r>
              <w:rPr>
                <w:rFonts w:ascii="Times New Roman" w:hAnsi="Times New Roman"/>
                <w:b/>
                <w:sz w:val="15"/>
              </w:rPr>
              <w:t>10.5</w:t>
            </w:r>
          </w:p>
        </w:tc>
        <w:tc>
          <w:tcPr>
            <w:tcW w:type="dxa" w:w="662"/>
            <w:shd w:fill="f8fafc"/>
          </w:tcPr>
          <w:p>
            <w:pPr>
              <w:spacing w:before="20" w:after="20"/>
              <w:jc w:val="center"/>
            </w:pPr>
            <w:r/>
            <w:r>
              <w:rPr>
                <w:rFonts w:ascii="Times New Roman" w:hAnsi="Times New Roman"/>
                <w:b w:val="0"/>
                <w:sz w:val="15"/>
              </w:rPr>
              <w:t>51.2 b</w:t>
            </w:r>
          </w:p>
        </w:tc>
        <w:tc>
          <w:tcPr>
            <w:tcW w:type="dxa" w:w="1238"/>
            <w:shd w:fill="f8fafc"/>
          </w:tcPr>
          <w:p>
            <w:pPr>
              <w:spacing w:before="20" w:after="20"/>
              <w:jc w:val="center"/>
            </w:pPr>
            <w:r/>
            <w:r>
              <w:rPr>
                <w:rFonts w:ascii="Times New Roman" w:hAnsi="Times New Roman"/>
                <w:b w:val="0"/>
                <w:sz w:val="15"/>
              </w:rPr>
              <w:t>96.7% W, 3.3% M</w:t>
            </w:r>
          </w:p>
        </w:tc>
      </w:tr>
      <w:tr>
        <w:tc>
          <w:tcPr>
            <w:tcW w:type="dxa" w:w="504"/>
            <w:shd w:fill="ffffff"/>
          </w:tcPr>
          <w:p>
            <w:pPr>
              <w:spacing w:before="20" w:after="20"/>
              <w:jc w:val="center"/>
            </w:pPr>
            <w:r/>
            <w:r>
              <w:rPr>
                <w:rFonts w:ascii="Times New Roman" w:hAnsi="Times New Roman"/>
                <w:b/>
                <w:sz w:val="15"/>
              </w:rPr>
              <w:t>C</w:t>
            </w:r>
          </w:p>
        </w:tc>
        <w:tc>
          <w:tcPr>
            <w:tcW w:type="dxa" w:w="1224"/>
            <w:shd w:fill="ffffff"/>
          </w:tcPr>
          <w:p>
            <w:pPr>
              <w:spacing w:before="20" w:after="20"/>
              <w:jc w:val="center"/>
            </w:pPr>
            <w:r/>
            <w:r>
              <w:rPr>
                <w:rFonts w:ascii="Times New Roman" w:hAnsi="Times New Roman"/>
                <w:b w:val="0"/>
                <w:sz w:val="15"/>
              </w:rPr>
              <w:t>Medium Complex</w:t>
            </w:r>
          </w:p>
        </w:tc>
        <w:tc>
          <w:tcPr>
            <w:tcW w:type="dxa" w:w="403"/>
            <w:shd w:fill="ffffff"/>
          </w:tcPr>
          <w:p>
            <w:pPr>
              <w:spacing w:before="20" w:after="20"/>
              <w:jc w:val="center"/>
            </w:pPr>
            <w:r/>
            <w:r>
              <w:rPr>
                <w:rFonts w:ascii="Times New Roman" w:hAnsi="Times New Roman"/>
                <w:b w:val="0"/>
                <w:sz w:val="15"/>
              </w:rPr>
              <w:t>30</w:t>
            </w:r>
          </w:p>
        </w:tc>
        <w:tc>
          <w:tcPr>
            <w:tcW w:type="dxa" w:w="547"/>
            <w:shd w:fill="ffffff"/>
          </w:tcPr>
          <w:p>
            <w:pPr>
              <w:spacing w:before="20" w:after="20"/>
              <w:jc w:val="center"/>
            </w:pPr>
            <w:r/>
            <w:r>
              <w:rPr>
                <w:rFonts w:ascii="Times New Roman" w:hAnsi="Times New Roman"/>
                <w:b w:val="0"/>
                <w:sz w:val="15"/>
              </w:rPr>
              <w:t>13.0</w:t>
            </w:r>
          </w:p>
        </w:tc>
        <w:tc>
          <w:tcPr>
            <w:tcW w:type="dxa" w:w="461"/>
            <w:shd w:fill="ffffff"/>
          </w:tcPr>
          <w:p>
            <w:pPr>
              <w:spacing w:before="20" w:after="20"/>
              <w:jc w:val="center"/>
            </w:pPr>
            <w:r/>
            <w:r>
              <w:rPr>
                <w:rFonts w:ascii="Times New Roman" w:hAnsi="Times New Roman"/>
                <w:b w:val="0"/>
                <w:sz w:val="15"/>
              </w:rPr>
              <w:t>4.0</w:t>
            </w:r>
          </w:p>
        </w:tc>
        <w:tc>
          <w:tcPr>
            <w:tcW w:type="dxa" w:w="547"/>
            <w:shd w:fill="ffffff"/>
          </w:tcPr>
          <w:p>
            <w:pPr>
              <w:spacing w:before="20" w:after="20"/>
              <w:jc w:val="center"/>
            </w:pPr>
            <w:r/>
            <w:r>
              <w:rPr>
                <w:rFonts w:ascii="Times New Roman" w:hAnsi="Times New Roman"/>
                <w:b/>
                <w:sz w:val="15"/>
              </w:rPr>
              <w:t>80.8</w:t>
            </w:r>
          </w:p>
        </w:tc>
        <w:tc>
          <w:tcPr>
            <w:tcW w:type="dxa" w:w="662"/>
            <w:shd w:fill="ffffff"/>
          </w:tcPr>
          <w:p>
            <w:pPr>
              <w:spacing w:before="20" w:after="20"/>
              <w:jc w:val="center"/>
            </w:pPr>
            <w:r/>
            <w:r>
              <w:rPr>
                <w:rFonts w:ascii="Times New Roman" w:hAnsi="Times New Roman"/>
                <w:b w:val="0"/>
                <w:sz w:val="15"/>
              </w:rPr>
              <w:t>85.4 b</w:t>
            </w:r>
          </w:p>
        </w:tc>
        <w:tc>
          <w:tcPr>
            <w:tcW w:type="dxa" w:w="1238"/>
            <w:shd w:fill="ffffff"/>
          </w:tcPr>
          <w:p>
            <w:pPr>
              <w:spacing w:before="20" w:after="20"/>
              <w:jc w:val="center"/>
            </w:pPr>
            <w:r/>
            <w:r>
              <w:rPr>
                <w:rFonts w:ascii="Times New Roman" w:hAnsi="Times New Roman"/>
                <w:b w:val="0"/>
                <w:sz w:val="15"/>
              </w:rPr>
              <w:t>93.3% S, 6.7% M</w:t>
            </w:r>
          </w:p>
        </w:tc>
      </w:tr>
      <w:tr>
        <w:tc>
          <w:tcPr>
            <w:tcW w:type="dxa" w:w="504"/>
            <w:shd w:fill="f8fafc"/>
          </w:tcPr>
          <w:p>
            <w:pPr>
              <w:spacing w:before="20" w:after="20"/>
              <w:jc w:val="center"/>
            </w:pPr>
            <w:r/>
            <w:r>
              <w:rPr>
                <w:rFonts w:ascii="Times New Roman" w:hAnsi="Times New Roman"/>
                <w:b/>
                <w:sz w:val="15"/>
              </w:rPr>
              <w:t>D</w:t>
            </w:r>
          </w:p>
        </w:tc>
        <w:tc>
          <w:tcPr>
            <w:tcW w:type="dxa" w:w="1224"/>
            <w:shd w:fill="f8fafc"/>
          </w:tcPr>
          <w:p>
            <w:pPr>
              <w:spacing w:before="20" w:after="20"/>
              <w:jc w:val="center"/>
            </w:pPr>
            <w:r/>
            <w:r>
              <w:rPr>
                <w:rFonts w:ascii="Times New Roman" w:hAnsi="Times New Roman"/>
                <w:b w:val="0"/>
                <w:sz w:val="15"/>
              </w:rPr>
              <w:t>Long Passphrase</w:t>
            </w:r>
          </w:p>
        </w:tc>
        <w:tc>
          <w:tcPr>
            <w:tcW w:type="dxa" w:w="403"/>
            <w:shd w:fill="f8fafc"/>
          </w:tcPr>
          <w:p>
            <w:pPr>
              <w:spacing w:before="20" w:after="20"/>
              <w:jc w:val="center"/>
            </w:pPr>
            <w:r/>
            <w:r>
              <w:rPr>
                <w:rFonts w:ascii="Times New Roman" w:hAnsi="Times New Roman"/>
                <w:b w:val="0"/>
                <w:sz w:val="15"/>
              </w:rPr>
              <w:t>30</w:t>
            </w:r>
          </w:p>
        </w:tc>
        <w:tc>
          <w:tcPr>
            <w:tcW w:type="dxa" w:w="547"/>
            <w:shd w:fill="f8fafc"/>
          </w:tcPr>
          <w:p>
            <w:pPr>
              <w:spacing w:before="20" w:after="20"/>
              <w:jc w:val="center"/>
            </w:pPr>
            <w:r/>
            <w:r>
              <w:rPr>
                <w:rFonts w:ascii="Times New Roman" w:hAnsi="Times New Roman"/>
                <w:b w:val="0"/>
                <w:sz w:val="15"/>
              </w:rPr>
              <w:t>31.1</w:t>
            </w:r>
          </w:p>
        </w:tc>
        <w:tc>
          <w:tcPr>
            <w:tcW w:type="dxa" w:w="461"/>
            <w:shd w:fill="f8fafc"/>
          </w:tcPr>
          <w:p>
            <w:pPr>
              <w:spacing w:before="20" w:after="20"/>
              <w:jc w:val="center"/>
            </w:pPr>
            <w:r/>
            <w:r>
              <w:rPr>
                <w:rFonts w:ascii="Times New Roman" w:hAnsi="Times New Roman"/>
                <w:b w:val="0"/>
                <w:sz w:val="15"/>
              </w:rPr>
              <w:t>2.0</w:t>
            </w:r>
          </w:p>
        </w:tc>
        <w:tc>
          <w:tcPr>
            <w:tcW w:type="dxa" w:w="547"/>
            <w:shd w:fill="f8fafc"/>
          </w:tcPr>
          <w:p>
            <w:pPr>
              <w:spacing w:before="20" w:after="20"/>
              <w:jc w:val="center"/>
            </w:pPr>
            <w:r/>
            <w:r>
              <w:rPr>
                <w:rFonts w:ascii="Times New Roman" w:hAnsi="Times New Roman"/>
                <w:b/>
                <w:sz w:val="15"/>
              </w:rPr>
              <w:t>75.8</w:t>
            </w:r>
          </w:p>
        </w:tc>
        <w:tc>
          <w:tcPr>
            <w:tcW w:type="dxa" w:w="662"/>
            <w:shd w:fill="f8fafc"/>
          </w:tcPr>
          <w:p>
            <w:pPr>
              <w:spacing w:before="20" w:after="20"/>
              <w:jc w:val="center"/>
            </w:pPr>
            <w:r/>
            <w:r>
              <w:rPr>
                <w:rFonts w:ascii="Times New Roman" w:hAnsi="Times New Roman"/>
                <w:b w:val="0"/>
                <w:sz w:val="15"/>
              </w:rPr>
              <w:t>182.9 b</w:t>
            </w:r>
          </w:p>
        </w:tc>
        <w:tc>
          <w:tcPr>
            <w:tcW w:type="dxa" w:w="1238"/>
            <w:shd w:fill="f8fafc"/>
          </w:tcPr>
          <w:p>
            <w:pPr>
              <w:spacing w:before="20" w:after="20"/>
              <w:jc w:val="center"/>
            </w:pPr>
            <w:r/>
            <w:r>
              <w:rPr>
                <w:rFonts w:ascii="Times New Roman" w:hAnsi="Times New Roman"/>
                <w:b w:val="0"/>
                <w:sz w:val="15"/>
              </w:rPr>
              <w:t>70.0% S, 30.0% M</w:t>
            </w:r>
          </w:p>
        </w:tc>
      </w:tr>
      <w:tr>
        <w:tc>
          <w:tcPr>
            <w:tcW w:type="dxa" w:w="504"/>
            <w:shd w:fill="ffffff"/>
          </w:tcPr>
          <w:p>
            <w:pPr>
              <w:spacing w:before="20" w:after="20"/>
              <w:jc w:val="center"/>
            </w:pPr>
            <w:r/>
            <w:r>
              <w:rPr>
                <w:rFonts w:ascii="Times New Roman" w:hAnsi="Times New Roman"/>
                <w:b/>
                <w:sz w:val="15"/>
              </w:rPr>
              <w:t>E</w:t>
            </w:r>
          </w:p>
        </w:tc>
        <w:tc>
          <w:tcPr>
            <w:tcW w:type="dxa" w:w="1224"/>
            <w:shd w:fill="ffffff"/>
          </w:tcPr>
          <w:p>
            <w:pPr>
              <w:spacing w:before="20" w:after="20"/>
              <w:jc w:val="center"/>
            </w:pPr>
            <w:r/>
            <w:r>
              <w:rPr>
                <w:rFonts w:ascii="Times New Roman" w:hAnsi="Times New Roman"/>
                <w:b w:val="0"/>
                <w:sz w:val="15"/>
              </w:rPr>
              <w:t>Long Random</w:t>
            </w:r>
          </w:p>
        </w:tc>
        <w:tc>
          <w:tcPr>
            <w:tcW w:type="dxa" w:w="403"/>
            <w:shd w:fill="ffffff"/>
          </w:tcPr>
          <w:p>
            <w:pPr>
              <w:spacing w:before="20" w:after="20"/>
              <w:jc w:val="center"/>
            </w:pPr>
            <w:r/>
            <w:r>
              <w:rPr>
                <w:rFonts w:ascii="Times New Roman" w:hAnsi="Times New Roman"/>
                <w:b w:val="0"/>
                <w:sz w:val="15"/>
              </w:rPr>
              <w:t>30</w:t>
            </w:r>
          </w:p>
        </w:tc>
        <w:tc>
          <w:tcPr>
            <w:tcW w:type="dxa" w:w="547"/>
            <w:shd w:fill="ffffff"/>
          </w:tcPr>
          <w:p>
            <w:pPr>
              <w:spacing w:before="20" w:after="20"/>
              <w:jc w:val="center"/>
            </w:pPr>
            <w:r/>
            <w:r>
              <w:rPr>
                <w:rFonts w:ascii="Times New Roman" w:hAnsi="Times New Roman"/>
                <w:b w:val="0"/>
                <w:sz w:val="15"/>
              </w:rPr>
              <w:t>16.0</w:t>
            </w:r>
          </w:p>
        </w:tc>
        <w:tc>
          <w:tcPr>
            <w:tcW w:type="dxa" w:w="461"/>
            <w:shd w:fill="ffffff"/>
          </w:tcPr>
          <w:p>
            <w:pPr>
              <w:spacing w:before="20" w:after="20"/>
              <w:jc w:val="center"/>
            </w:pPr>
            <w:r/>
            <w:r>
              <w:rPr>
                <w:rFonts w:ascii="Times New Roman" w:hAnsi="Times New Roman"/>
                <w:b w:val="0"/>
                <w:sz w:val="15"/>
              </w:rPr>
              <w:t>4.0</w:t>
            </w:r>
          </w:p>
        </w:tc>
        <w:tc>
          <w:tcPr>
            <w:tcW w:type="dxa" w:w="547"/>
            <w:shd w:fill="ffffff"/>
          </w:tcPr>
          <w:p>
            <w:pPr>
              <w:spacing w:before="20" w:after="20"/>
              <w:jc w:val="center"/>
            </w:pPr>
            <w:r/>
            <w:r>
              <w:rPr>
                <w:rFonts w:ascii="Times New Roman" w:hAnsi="Times New Roman"/>
                <w:b/>
                <w:sz w:val="15"/>
              </w:rPr>
              <w:t>90.0</w:t>
            </w:r>
          </w:p>
        </w:tc>
        <w:tc>
          <w:tcPr>
            <w:tcW w:type="dxa" w:w="662"/>
            <w:shd w:fill="ffffff"/>
          </w:tcPr>
          <w:p>
            <w:pPr>
              <w:spacing w:before="20" w:after="20"/>
              <w:jc w:val="center"/>
            </w:pPr>
            <w:r/>
            <w:r>
              <w:rPr>
                <w:rFonts w:ascii="Times New Roman" w:hAnsi="Times New Roman"/>
                <w:b w:val="0"/>
                <w:sz w:val="15"/>
              </w:rPr>
              <w:t>105.1 b</w:t>
            </w:r>
          </w:p>
        </w:tc>
        <w:tc>
          <w:tcPr>
            <w:tcW w:type="dxa" w:w="1238"/>
            <w:shd w:fill="ffffff"/>
          </w:tcPr>
          <w:p>
            <w:pPr>
              <w:spacing w:before="20" w:after="20"/>
              <w:jc w:val="center"/>
            </w:pPr>
            <w:r/>
            <w:r>
              <w:rPr>
                <w:rFonts w:ascii="Times New Roman" w:hAnsi="Times New Roman"/>
                <w:b w:val="0"/>
                <w:sz w:val="15"/>
              </w:rPr>
              <w:t>100% Strong</w:t>
            </w:r>
          </w:p>
        </w:tc>
      </w:tr>
    </w:tbl>
    <w:p>
      <w:pPr>
        <w:spacing w:before="40" w:after="40"/>
      </w:pPr>
    </w:p>
    <w:p>
      <w:pPr>
        <w:pStyle w:val="Heading2"/>
        <w:keepNext/>
        <w:spacing w:before="120" w:after="40"/>
        <w:jc w:val="left"/>
      </w:pPr>
      <w:r>
        <w:rPr>
          <w:rFonts w:ascii="Times New Roman" w:hAnsi="Times New Roman"/>
          <w:b/>
          <w:sz w:val="20"/>
        </w:rPr>
        <w:t>Overall Tier Distribution</w:t>
      </w:r>
    </w:p>
    <w:p>
      <w:pPr>
        <w:spacing w:before="0" w:after="60" w:line="252" w:lineRule="auto"/>
        <w:jc w:val="both"/>
      </w:pPr>
      <w:r>
        <w:rPr>
          <w:rFonts w:ascii="Times New Roman" w:hAnsi="Times New Roman"/>
          <w:sz w:val="18"/>
        </w:rPr>
        <w:t>Across the entire 150-sample dataset: Weak Tier: 59 passwords (39.3%); Medium Tier: 12 passwords (8.0%); Strong Tier: 79 passwords (52.7%). Figure 2 illustrates this overall distribution.</w:t>
      </w:r>
    </w:p>
    <w:p>
      <w:pPr>
        <w:keepNext/>
        <w:spacing w:before="80" w:after="30"/>
        <w:jc w:val="center"/>
      </w:pPr>
      <w:r>
        <w:drawing>
          <wp:inline xmlns:a="http://schemas.openxmlformats.org/drawingml/2006/main" xmlns:pic="http://schemas.openxmlformats.org/drawingml/2006/picture">
            <wp:extent cx="2560320" cy="1768948"/>
            <wp:docPr id="2" name="Picture 2"/>
            <wp:cNvGraphicFramePr>
              <a:graphicFrameLocks noChangeAspect="1"/>
            </wp:cNvGraphicFramePr>
            <a:graphic>
              <a:graphicData uri="http://schemas.openxmlformats.org/drawingml/2006/picture">
                <pic:pic>
                  <pic:nvPicPr>
                    <pic:cNvPr id="0" name="fig_tier_distribution.png"/>
                    <pic:cNvPicPr/>
                  </pic:nvPicPr>
                  <pic:blipFill>
                    <a:blip r:embed="rId21"/>
                    <a:stretch>
                      <a:fillRect/>
                    </a:stretch>
                  </pic:blipFill>
                  <pic:spPr>
                    <a:xfrm>
                      <a:off x="0" y="0"/>
                      <a:ext cx="2560320" cy="1768948"/>
                    </a:xfrm>
                    <a:prstGeom prst="rect"/>
                  </pic:spPr>
                </pic:pic>
              </a:graphicData>
            </a:graphic>
          </wp:inline>
        </w:drawing>
      </w:r>
    </w:p>
    <w:p>
      <w:pPr>
        <w:pStyle w:val="Caption"/>
        <w:spacing w:before="30" w:after="100"/>
        <w:jc w:val="center"/>
      </w:pPr>
      <w:r>
        <w:rPr>
          <w:rFonts w:ascii="Times New Roman" w:hAnsi="Times New Roman"/>
          <w:b/>
          <w:sz w:val="17"/>
        </w:rPr>
        <w:t>Figure 2. Categorical tier distribution across the entire 150-password synthetic evaluation set.</w:t>
      </w:r>
    </w:p>
    <w:p>
      <w:pPr>
        <w:pStyle w:val="Heading2"/>
        <w:keepNext/>
        <w:spacing w:before="120" w:after="40"/>
        <w:jc w:val="left"/>
      </w:pPr>
      <w:r>
        <w:rPr>
          <w:rFonts w:ascii="Times New Roman" w:hAnsi="Times New Roman"/>
          <w:b/>
          <w:sz w:val="20"/>
        </w:rPr>
        <w:t>Analysis of Category Findings</w:t>
      </w:r>
    </w:p>
    <w:p>
      <w:pPr>
        <w:spacing w:before="0" w:after="60" w:line="252" w:lineRule="auto"/>
        <w:jc w:val="both"/>
      </w:pPr>
      <w:r>
        <w:rPr>
          <w:rFonts w:ascii="Times New Roman" w:hAnsi="Times New Roman"/>
          <w:b/>
          <w:sz w:val="18"/>
        </w:rPr>
        <w:t>Category A (Short Simple):</w:t>
      </w:r>
      <w:r>
        <w:rPr>
          <w:rFonts w:ascii="Times New Roman" w:hAnsi="Times New Roman"/>
          <w:sz w:val="18"/>
        </w:rPr>
        <w:t xml:space="preserve"> Averaged a score of 2.0/100 and theoretical entropy of 20.8 bits. Tiny search spaces (</w:t>
      </w:r>
      <w:r>
        <w:rPr>
          <w:rFonts w:ascii="Times New Roman" w:hAnsi="Times New Roman"/>
          <w:i/>
          <w:sz w:val="18"/>
        </w:rPr>
        <w:t>26^4 ≈ 4.5 × 10^5</w:t>
      </w:r>
      <w:r>
        <w:rPr>
          <w:rFonts w:ascii="Times New Roman" w:hAnsi="Times New Roman"/>
          <w:sz w:val="18"/>
        </w:rPr>
        <w:t>) yielded 100% Weak classifications.</w:t>
      </w:r>
    </w:p>
    <w:p>
      <w:pPr>
        <w:spacing w:before="0" w:after="60" w:line="252" w:lineRule="auto"/>
        <w:jc w:val="both"/>
      </w:pPr>
      <w:r>
        <w:rPr>
          <w:rFonts w:ascii="Times New Roman" w:hAnsi="Times New Roman"/>
          <w:b/>
          <w:sz w:val="18"/>
        </w:rPr>
        <w:t>Category B (Common Pattern):</w:t>
      </w:r>
      <w:r>
        <w:rPr>
          <w:rFonts w:ascii="Times New Roman" w:hAnsi="Times New Roman"/>
          <w:sz w:val="18"/>
        </w:rPr>
        <w:t xml:space="preserve"> Demonstrates the penalty engine. Despite containing symbols and numbers (mean length 9.6), dictionary roots and sequences triggered major deductions (-25 common pattern, -15 sequences), resulting in a mean score of 10.5/100 (96.7% Weak).</w:t>
      </w:r>
    </w:p>
    <w:p>
      <w:pPr>
        <w:spacing w:before="0" w:after="60" w:line="252" w:lineRule="auto"/>
        <w:jc w:val="both"/>
      </w:pPr>
      <w:r>
        <w:rPr>
          <w:rFonts w:ascii="Times New Roman" w:hAnsi="Times New Roman"/>
          <w:b/>
          <w:sz w:val="18"/>
        </w:rPr>
        <w:t>Category C (Medium Complexity):</w:t>
      </w:r>
      <w:r>
        <w:rPr>
          <w:rFonts w:ascii="Times New Roman" w:hAnsi="Times New Roman"/>
          <w:sz w:val="18"/>
        </w:rPr>
        <w:t xml:space="preserve"> Traditional corporate composition rules (mean length 13.0, 4 pools) averaged 80.8/100 and 85.4 bits entropy (93.3% Strong).</w:t>
      </w:r>
    </w:p>
    <w:p>
      <w:pPr>
        <w:spacing w:before="0" w:after="60" w:line="252" w:lineRule="auto"/>
        <w:jc w:val="both"/>
      </w:pPr>
      <w:r>
        <w:rPr>
          <w:rFonts w:ascii="Times New Roman" w:hAnsi="Times New Roman"/>
          <w:b/>
          <w:sz w:val="18"/>
        </w:rPr>
        <w:t>Category D (Long Passphrase):</w:t>
      </w:r>
      <w:r>
        <w:rPr>
          <w:rFonts w:ascii="Times New Roman" w:hAnsi="Times New Roman"/>
          <w:sz w:val="18"/>
        </w:rPr>
        <w:t xml:space="preserve"> Multi-word phrases averaging 31.1 characters achieved the highest theoretical character-space entropy: </w:t>
      </w:r>
      <w:r>
        <w:rPr>
          <w:rFonts w:ascii="Times New Roman" w:hAnsi="Times New Roman"/>
          <w:b/>
          <w:sz w:val="18"/>
        </w:rPr>
        <w:t>182.9 bits</w:t>
      </w:r>
      <w:r>
        <w:rPr>
          <w:rFonts w:ascii="Times New Roman" w:hAnsi="Times New Roman"/>
          <w:sz w:val="18"/>
        </w:rPr>
        <w:t>, averaging 75.8/100 (70.0% Strong, 30.0% Medium) despite utilizing only 2 pools.</w:t>
      </w:r>
    </w:p>
    <w:p>
      <w:pPr>
        <w:spacing w:before="0" w:after="60" w:line="252" w:lineRule="auto"/>
        <w:jc w:val="both"/>
      </w:pPr>
      <w:r>
        <w:rPr>
          <w:rFonts w:ascii="Times New Roman" w:hAnsi="Times New Roman"/>
          <w:b/>
          <w:sz w:val="18"/>
        </w:rPr>
        <w:t>Category E (Long Random):</w:t>
      </w:r>
      <w:r>
        <w:rPr>
          <w:rFonts w:ascii="Times New Roman" w:hAnsi="Times New Roman"/>
          <w:sz w:val="18"/>
        </w:rPr>
        <w:t xml:space="preserve"> 16-character pseudo-random strings across all 4 pools achieved the highest score: 90.0/100 and 105.1 bits entropy (100% Strong).</w:t>
      </w:r>
    </w:p>
    <w:p>
      <w:pPr>
        <w:keepNext/>
        <w:spacing w:before="80" w:after="30"/>
        <w:jc w:val="center"/>
      </w:pPr>
      <w:r>
        <w:drawing>
          <wp:inline xmlns:a="http://schemas.openxmlformats.org/drawingml/2006/main" xmlns:pic="http://schemas.openxmlformats.org/drawingml/2006/picture">
            <wp:extent cx="2926080" cy="1710631"/>
            <wp:docPr id="3" name="Picture 3"/>
            <wp:cNvGraphicFramePr>
              <a:graphicFrameLocks noChangeAspect="1"/>
            </wp:cNvGraphicFramePr>
            <a:graphic>
              <a:graphicData uri="http://schemas.openxmlformats.org/drawingml/2006/picture">
                <pic:pic>
                  <pic:nvPicPr>
                    <pic:cNvPr id="0" name="fig_category_scores.png"/>
                    <pic:cNvPicPr/>
                  </pic:nvPicPr>
                  <pic:blipFill>
                    <a:blip r:embed="rId22"/>
                    <a:stretch>
                      <a:fillRect/>
                    </a:stretch>
                  </pic:blipFill>
                  <pic:spPr>
                    <a:xfrm>
                      <a:off x="0" y="0"/>
                      <a:ext cx="2926080" cy="1710631"/>
                    </a:xfrm>
                    <a:prstGeom prst="rect"/>
                  </pic:spPr>
                </pic:pic>
              </a:graphicData>
            </a:graphic>
          </wp:inline>
        </w:drawing>
      </w:r>
    </w:p>
    <w:p>
      <w:pPr>
        <w:pStyle w:val="Caption"/>
        <w:spacing w:before="30" w:after="100"/>
        <w:jc w:val="center"/>
      </w:pPr>
      <w:r>
        <w:rPr>
          <w:rFonts w:ascii="Times New Roman" w:hAnsi="Times New Roman"/>
          <w:b/>
          <w:sz w:val="17"/>
        </w:rPr>
        <w:t>Figure 3. Average PasswordGuard heuristic score across the five synthetic categories (N = 150).</w:t>
      </w:r>
    </w:p>
    <w:p>
      <w:pPr>
        <w:keepNext/>
        <w:spacing w:before="80" w:after="30"/>
        <w:jc w:val="center"/>
      </w:pPr>
      <w:r>
        <w:drawing>
          <wp:inline xmlns:a="http://schemas.openxmlformats.org/drawingml/2006/main" xmlns:pic="http://schemas.openxmlformats.org/drawingml/2006/picture">
            <wp:extent cx="2926080" cy="1710631"/>
            <wp:docPr id="4" name="Picture 4"/>
            <wp:cNvGraphicFramePr>
              <a:graphicFrameLocks noChangeAspect="1"/>
            </wp:cNvGraphicFramePr>
            <a:graphic>
              <a:graphicData uri="http://schemas.openxmlformats.org/drawingml/2006/picture">
                <pic:pic>
                  <pic:nvPicPr>
                    <pic:cNvPr id="0" name="fig_theoretical_entropy.png"/>
                    <pic:cNvPicPr/>
                  </pic:nvPicPr>
                  <pic:blipFill>
                    <a:blip r:embed="rId23"/>
                    <a:stretch>
                      <a:fillRect/>
                    </a:stretch>
                  </pic:blipFill>
                  <pic:spPr>
                    <a:xfrm>
                      <a:off x="0" y="0"/>
                      <a:ext cx="2926080" cy="1710631"/>
                    </a:xfrm>
                    <a:prstGeom prst="rect"/>
                  </pic:spPr>
                </pic:pic>
              </a:graphicData>
            </a:graphic>
          </wp:inline>
        </w:drawing>
      </w:r>
    </w:p>
    <w:p>
      <w:pPr>
        <w:pStyle w:val="Caption"/>
        <w:spacing w:before="30" w:after="100"/>
        <w:jc w:val="center"/>
      </w:pPr>
      <w:r>
        <w:rPr>
          <w:rFonts w:ascii="Times New Roman" w:hAnsi="Times New Roman"/>
          <w:b/>
          <w:sz w:val="17"/>
        </w:rPr>
        <w:t>Figure 4. Mean theoretical character-space entropy estimate by category, highlighting passphrase scaling.</w:t>
      </w:r>
    </w:p>
    <w:p>
      <w:pPr>
        <w:pStyle w:val="Heading1"/>
        <w:keepNext/>
        <w:spacing w:before="160" w:after="50"/>
        <w:jc w:val="left"/>
      </w:pPr>
      <w:r>
        <w:rPr>
          <w:rFonts w:ascii="Times New Roman" w:hAnsi="Times New Roman"/>
          <w:b/>
          <w:sz w:val="22"/>
        </w:rPr>
        <w:t>DISCUSSION</w:t>
      </w:r>
    </w:p>
    <w:p>
      <w:pPr>
        <w:pStyle w:val="Heading2"/>
        <w:keepNext/>
        <w:spacing w:before="120" w:after="40"/>
        <w:jc w:val="left"/>
      </w:pPr>
      <w:r>
        <w:rPr>
          <w:rFonts w:ascii="Times New Roman" w:hAnsi="Times New Roman"/>
          <w:b/>
          <w:sz w:val="20"/>
        </w:rPr>
        <w:t>Methodological Context and Circularity</w:t>
      </w:r>
    </w:p>
    <w:p>
      <w:pPr>
        <w:spacing w:before="0" w:after="60" w:line="252" w:lineRule="auto"/>
        <w:jc w:val="both"/>
      </w:pPr>
      <w:r>
        <w:rPr>
          <w:rFonts w:ascii="Times New Roman" w:hAnsi="Times New Roman"/>
          <w:sz w:val="18"/>
        </w:rPr>
        <w:t>When interpreting these findings, it is essential to acknowledge the methodological relationship between the heuristic tool and the dataset. Because the same heuristic defines scoring rules and evaluates the synthetic categories, the results reflect the designed model rather than an independent empirical cracking benchmark.</w:t>
      </w:r>
    </w:p>
    <w:p>
      <w:pPr>
        <w:pStyle w:val="Heading2"/>
        <w:keepNext/>
        <w:spacing w:before="120" w:after="40"/>
        <w:jc w:val="left"/>
      </w:pPr>
      <w:r>
        <w:rPr>
          <w:rFonts w:ascii="Times New Roman" w:hAnsi="Times New Roman"/>
          <w:b/>
          <w:sz w:val="20"/>
        </w:rPr>
        <w:t>Limitations of Superficial Complexity</w:t>
      </w:r>
    </w:p>
    <w:p>
      <w:pPr>
        <w:spacing w:before="0" w:after="60" w:line="252" w:lineRule="auto"/>
        <w:jc w:val="both"/>
      </w:pPr>
      <w:r>
        <w:rPr>
          <w:rFonts w:ascii="Times New Roman" w:hAnsi="Times New Roman"/>
          <w:sz w:val="18"/>
        </w:rPr>
        <w:t>Category B results demonstrate that naive character requirements (</w:t>
      </w:r>
      <w:r>
        <w:rPr>
          <w:rFonts w:ascii="Times New Roman" w:hAnsi="Times New Roman"/>
          <w:i/>
          <w:sz w:val="18"/>
        </w:rPr>
        <w:t>[A-Z]</w:t>
      </w:r>
      <w:r>
        <w:rPr>
          <w:rFonts w:ascii="Times New Roman" w:hAnsi="Times New Roman"/>
          <w:sz w:val="18"/>
        </w:rPr>
        <w:t xml:space="preserve">, </w:t>
      </w:r>
      <w:r>
        <w:rPr>
          <w:rFonts w:ascii="Times New Roman" w:hAnsi="Times New Roman"/>
          <w:i/>
          <w:sz w:val="18"/>
        </w:rPr>
        <w:t>[0-9]</w:t>
      </w:r>
      <w:r>
        <w:rPr>
          <w:rFonts w:ascii="Times New Roman" w:hAnsi="Times New Roman"/>
          <w:sz w:val="18"/>
        </w:rPr>
        <w:t>) frequently fail in practice [6]. Attackers employ rule-based and probabilistic grammar attacks targeting predictable substitutions and sequential suffixes [12, 17].</w:t>
      </w:r>
    </w:p>
    <w:p>
      <w:pPr>
        <w:pStyle w:val="Heading2"/>
        <w:keepNext/>
        <w:spacing w:before="120" w:after="40"/>
        <w:jc w:val="left"/>
      </w:pPr>
      <w:r>
        <w:rPr>
          <w:rFonts w:ascii="Times New Roman" w:hAnsi="Times New Roman"/>
          <w:b/>
          <w:sz w:val="20"/>
        </w:rPr>
        <w:t>Passphrases vs. High-Entropy Strings</w:t>
      </w:r>
    </w:p>
    <w:p>
      <w:pPr>
        <w:spacing w:before="0" w:after="60" w:line="252" w:lineRule="auto"/>
        <w:jc w:val="both"/>
      </w:pPr>
      <w:r>
        <w:rPr>
          <w:rFonts w:ascii="Times New Roman" w:hAnsi="Times New Roman"/>
          <w:sz w:val="18"/>
        </w:rPr>
        <w:t>Category E concentrates 105.1 bits into 16 characters but strains human memory, necessitating password managers [15]. Category D demonstrates that passphrases expand theoretical search spaces (182.9 bits) while maintaining cognitive retention, consistent with NIST SP 800-63B-4 guidance [13].</w:t>
      </w:r>
    </w:p>
    <w:p>
      <w:pPr>
        <w:pStyle w:val="Heading2"/>
        <w:keepNext/>
        <w:spacing w:before="120" w:after="40"/>
        <w:jc w:val="left"/>
      </w:pPr>
      <w:r>
        <w:rPr>
          <w:rFonts w:ascii="Times New Roman" w:hAnsi="Times New Roman"/>
          <w:b/>
          <w:sz w:val="20"/>
        </w:rPr>
        <w:t>Defense in Depth</w:t>
      </w:r>
    </w:p>
    <w:p>
      <w:pPr>
        <w:spacing w:before="0" w:after="60" w:line="252" w:lineRule="auto"/>
        <w:jc w:val="both"/>
      </w:pPr>
      <w:r>
        <w:rPr>
          <w:rFonts w:ascii="Times New Roman" w:hAnsi="Times New Roman"/>
          <w:sz w:val="18"/>
        </w:rPr>
        <w:t>Password evaluation alone cannot guarantee account defense. Adversaries using phishing or keyloggers bypass complexity entirely [2]. Robust authentication requires Multi-Factor Authentication (MFA) [13], breached-credential screening [3], and server-side rate-limiting [13].</w:t>
      </w:r>
    </w:p>
    <w:p>
      <w:pPr>
        <w:pStyle w:val="Heading1"/>
        <w:keepNext/>
        <w:spacing w:before="160" w:after="50"/>
        <w:jc w:val="left"/>
      </w:pPr>
      <w:r>
        <w:rPr>
          <w:rFonts w:ascii="Times New Roman" w:hAnsi="Times New Roman"/>
          <w:b/>
          <w:sz w:val="22"/>
        </w:rPr>
        <w:t>LIMITATIONS</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Heuristic Scoring Engine:</w:t>
      </w:r>
      <w:r>
        <w:rPr>
          <w:rFonts w:ascii="Times New Roman" w:hAnsi="Times New Roman"/>
          <w:sz w:val="18"/>
        </w:rPr>
        <w:t xml:space="preserve"> The 0–100 score is an educational heuristic rather than a formal compliance standard (e.g., FIPS 140-3).</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Upper-Bound Entropy Assumption:</w:t>
      </w:r>
      <w:r>
        <w:rPr>
          <w:rFonts w:ascii="Times New Roman" w:hAnsi="Times New Roman"/>
          <w:sz w:val="18"/>
        </w:rPr>
        <w:t xml:space="preserve"> Theoretical entropy assumes uniform, independent character selection; human cognitive biases result in lower real-world entropy [11, 15].</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Illustrative Attacker Modeling:</w:t>
      </w:r>
      <w:r>
        <w:rPr>
          <w:rFonts w:ascii="Times New Roman" w:hAnsi="Times New Roman"/>
          <w:sz w:val="18"/>
        </w:rPr>
        <w:t xml:space="preserve"> Crack projections assume exhaustive search (</w:t>
      </w:r>
      <w:r>
        <w:rPr>
          <w:rFonts w:ascii="Times New Roman" w:hAnsi="Times New Roman"/>
          <w:i/>
          <w:sz w:val="18"/>
        </w:rPr>
        <w:t>R^L/2</w:t>
      </w:r>
      <w:r>
        <w:rPr>
          <w:rFonts w:ascii="Times New Roman" w:hAnsi="Times New Roman"/>
          <w:sz w:val="18"/>
        </w:rPr>
        <w:t>); adversaries prioritize targeted wordlists and mask attacks [12].</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Educational SHA-256 Boundary:</w:t>
      </w:r>
      <w:r>
        <w:rPr>
          <w:rFonts w:ascii="Times New Roman" w:hAnsi="Times New Roman"/>
          <w:sz w:val="18"/>
        </w:rPr>
        <w:t xml:space="preserve"> Web Crypto SHA-256 is used strictly for pedagogical demonstration. Production verifiers require memory-hard KDFs like Argon2id [1, 13].</w:t>
      </w:r>
    </w:p>
    <w:p>
      <w:pPr>
        <w:spacing w:before="0" w:after="40" w:line="252" w:lineRule="auto"/>
        <w:ind w:left="259"/>
        <w:jc w:val="both"/>
      </w:pPr>
      <w:r>
        <w:rPr>
          <w:rFonts w:ascii="Times New Roman" w:hAnsi="Times New Roman"/>
          <w:b/>
          <w:sz w:val="18"/>
        </w:rPr>
        <w:t xml:space="preserve">•  </w:t>
      </w:r>
      <w:r>
        <w:rPr>
          <w:rFonts w:ascii="Times New Roman" w:hAnsi="Times New Roman"/>
          <w:b/>
          <w:sz w:val="18"/>
        </w:rPr>
        <w:t>Synthetic Dataset Scope:</w:t>
      </w:r>
      <w:r>
        <w:rPr>
          <w:rFonts w:ascii="Times New Roman" w:hAnsi="Times New Roman"/>
          <w:sz w:val="18"/>
        </w:rPr>
        <w:t xml:space="preserve"> 150 synthetic samples isolate structural variables safely but do not reflect the statistical distribution of general human populations [5, 14].</w:t>
      </w:r>
    </w:p>
    <w:p>
      <w:pPr>
        <w:pStyle w:val="Heading1"/>
        <w:keepNext/>
        <w:spacing w:before="160" w:after="50"/>
        <w:jc w:val="left"/>
      </w:pPr>
      <w:r>
        <w:rPr>
          <w:rFonts w:ascii="Times New Roman" w:hAnsi="Times New Roman"/>
          <w:b/>
          <w:sz w:val="22"/>
        </w:rPr>
        <w:t>CONCLUSION</w:t>
      </w:r>
    </w:p>
    <w:p>
      <w:pPr>
        <w:spacing w:before="0" w:after="60" w:line="252" w:lineRule="auto"/>
        <w:jc w:val="both"/>
      </w:pPr>
      <w:r>
        <w:rPr>
          <w:rFonts w:ascii="Times New Roman" w:hAnsi="Times New Roman"/>
          <w:sz w:val="18"/>
        </w:rPr>
        <w:t xml:space="preserve">This project developed and evaluated </w:t>
      </w:r>
      <w:r>
        <w:rPr>
          <w:rFonts w:ascii="Times New Roman" w:hAnsi="Times New Roman"/>
          <w:b/>
          <w:sz w:val="18"/>
        </w:rPr>
        <w:t>PasswordGuard</w:t>
      </w:r>
      <w:r>
        <w:rPr>
          <w:rFonts w:ascii="Times New Roman" w:hAnsi="Times New Roman"/>
          <w:sz w:val="18"/>
        </w:rPr>
        <w:t>, an educational client-side web application exploring password security and authentication defense. By executing locally in browser memory without server-side persistence, the tool aims to balance technical clarity, educational value, and privacy-oriented design. Evaluation on 150 synthetic passwords demonstrates how the heuristic behaves: length mathematically scales combinatorial search spaces (</w:t>
      </w:r>
      <w:r>
        <w:rPr>
          <w:rFonts w:ascii="Times New Roman" w:hAnsi="Times New Roman"/>
          <w:i/>
          <w:sz w:val="18"/>
        </w:rPr>
        <w:t>R^L</w:t>
      </w:r>
      <w:r>
        <w:rPr>
          <w:rFonts w:ascii="Times New Roman" w:hAnsi="Times New Roman"/>
          <w:sz w:val="18"/>
        </w:rPr>
        <w:t>), enabling memorable passphrases to achieve high theoretical entropy (182.9 bits). Ultimately, password resilience must be paired with defense in depth: password managers, slow memory-hard hashing (Argon2id), rate limiting, and Multi-Factor Authentication (MFA) [13].</w:t>
      </w:r>
    </w:p>
    <w:p>
      <w:pPr>
        <w:pStyle w:val="Heading1"/>
        <w:keepNext/>
        <w:spacing w:before="160" w:after="50"/>
        <w:jc w:val="left"/>
      </w:pPr>
      <w:r>
        <w:rPr>
          <w:rFonts w:ascii="Times New Roman" w:hAnsi="Times New Roman"/>
          <w:b/>
          <w:sz w:val="22"/>
        </w:rPr>
        <w:t>ACKNOWLEDGMENTS</w:t>
      </w:r>
    </w:p>
    <w:p>
      <w:pPr>
        <w:spacing w:before="0" w:after="60" w:line="252" w:lineRule="auto"/>
        <w:jc w:val="both"/>
      </w:pPr>
      <w:r>
        <w:rPr>
          <w:rFonts w:ascii="Times New Roman" w:hAnsi="Times New Roman"/>
          <w:sz w:val="18"/>
        </w:rPr>
        <w:t>The authors thank the course instructors of English Writing and Presentation Skills, Faculty of Information Technology, Vietnam National University, for valuable academic guidance and feedback throughout this project.</w:t>
      </w:r>
    </w:p>
    <w:p>
      <w:pPr>
        <w:pStyle w:val="Heading1"/>
        <w:keepNext/>
        <w:spacing w:before="160" w:after="50"/>
        <w:jc w:val="left"/>
      </w:pPr>
      <w:r>
        <w:rPr>
          <w:rFonts w:ascii="Times New Roman" w:hAnsi="Times New Roman"/>
          <w:b/>
          <w:sz w:val="22"/>
        </w:rPr>
        <w:t>REFERENCES</w:t>
      </w:r>
    </w:p>
    <w:p>
      <w:pPr>
        <w:pStyle w:val="References"/>
        <w:spacing w:before="0" w:after="50" w:line="240" w:lineRule="auto"/>
        <w:jc w:val="left"/>
      </w:pPr>
      <w:r>
        <w:rPr>
          <w:rFonts w:ascii="Times New Roman" w:hAnsi="Times New Roman"/>
          <w:sz w:val="17"/>
        </w:rPr>
        <w:t>Biryukov, A., Dinu, D., and Khovratovich, D. 2016. Argon2: New generation of memory-hard functions for password hashing and other applications. In Proceedings of the 2016 IEEE European Symposium on Security and Privacy (EuroS&amp;P '16). IEEE, 292–302. DOI: https://doi.org/10.1109/EuroSP.2016.31.</w:t>
      </w:r>
    </w:p>
    <w:p>
      <w:pPr>
        <w:pStyle w:val="References"/>
        <w:spacing w:before="0" w:after="50" w:line="240" w:lineRule="auto"/>
        <w:jc w:val="left"/>
      </w:pPr>
      <w:r>
        <w:rPr>
          <w:rFonts w:ascii="Times New Roman" w:hAnsi="Times New Roman"/>
          <w:sz w:val="17"/>
        </w:rPr>
        <w:t>Bonneau, J., Herley, C., van Oorschot, P. C., and Stajano, F. 2012. The quest to replace passwords: A framework for comparative evaluation of web authentication schemes. In Proceedings of the 2012 IEEE Symposium on Security and Privacy (S&amp;P '12). IEEE, 553–567. DOI: https://doi.org/10.1109/SP.2012.44.</w:t>
      </w:r>
    </w:p>
    <w:p>
      <w:pPr>
        <w:pStyle w:val="References"/>
        <w:spacing w:before="0" w:after="50" w:line="240" w:lineRule="auto"/>
        <w:jc w:val="left"/>
      </w:pPr>
      <w:r>
        <w:rPr>
          <w:rFonts w:ascii="Times New Roman" w:hAnsi="Times New Roman"/>
          <w:sz w:val="17"/>
        </w:rPr>
        <w:t>Hunt, T. 2018. I've Just Launched Pwned Passwords V2 with Half a Billion Passwords. Troy Hunt Blog (Feb. 22, 2018). Retrieved from https://www.troyhunt.com/ive-just-launched-pwned-passwords-version-2/</w:t>
      </w:r>
    </w:p>
    <w:p>
      <w:pPr>
        <w:pStyle w:val="References"/>
        <w:spacing w:before="0" w:after="50" w:line="240" w:lineRule="auto"/>
        <w:jc w:val="left"/>
      </w:pPr>
      <w:r>
        <w:rPr>
          <w:rFonts w:ascii="Times New Roman" w:hAnsi="Times New Roman"/>
          <w:sz w:val="17"/>
        </w:rPr>
        <w:t>Kaliski, B. 2000. PKCS #5: Password-Based Cryptography Specification Version 2.0. RFC 2898. Internet Engineering Task Force. DOI: https://doi.org/10.17487/RFC2898.</w:t>
      </w:r>
    </w:p>
    <w:p>
      <w:pPr>
        <w:pStyle w:val="References"/>
        <w:spacing w:before="0" w:after="50" w:line="240" w:lineRule="auto"/>
        <w:jc w:val="left"/>
      </w:pPr>
      <w:r>
        <w:rPr>
          <w:rFonts w:ascii="Times New Roman" w:hAnsi="Times New Roman"/>
          <w:sz w:val="17"/>
        </w:rPr>
        <w:t>Kenneally, E. and Dittrich, D. 2012. The Menlo Report: Ethical Principles Guiding Information and Communication Technology Research. Technical Report. U.S. Department of Homeland Security.</w:t>
      </w:r>
    </w:p>
    <w:p>
      <w:pPr>
        <w:pStyle w:val="References"/>
        <w:spacing w:before="0" w:after="50" w:line="240" w:lineRule="auto"/>
        <w:jc w:val="left"/>
      </w:pPr>
      <w:r>
        <w:rPr>
          <w:rFonts w:ascii="Times New Roman" w:hAnsi="Times New Roman"/>
          <w:sz w:val="17"/>
        </w:rPr>
        <w:t>Komanduri, S., Shay, R., Kelley, P. G., Mazurek, M. L., Bauer, L., Christin, N., Cranor, L. F., and Egelman, S. 2011. Of passwords and people: Measuring the effect of password-composition policies. In Proceedings of the SIGCHI Conference on Human Factors in Computing Systems (CHI '11). ACM, 2595–2604. DOI: https://doi.org/10.1145/1978942.1979321.</w:t>
      </w:r>
    </w:p>
    <w:p>
      <w:pPr>
        <w:pStyle w:val="References"/>
        <w:spacing w:before="0" w:after="50" w:line="240" w:lineRule="auto"/>
        <w:jc w:val="left"/>
      </w:pPr>
      <w:r>
        <w:rPr>
          <w:rFonts w:ascii="Times New Roman" w:hAnsi="Times New Roman"/>
          <w:sz w:val="17"/>
        </w:rPr>
        <w:t>National Institute of Standards and Technology. 2015. Secure Hash Standard (SHS). Federal Information Processing Standards Publication (FIPS PUB) 180-4. U.S. Department of Commerce. DOI: https://doi.org/10.6028/NIST.FIPS.180-4.</w:t>
      </w:r>
    </w:p>
    <w:p>
      <w:pPr>
        <w:pStyle w:val="References"/>
        <w:spacing w:before="0" w:after="50" w:line="240" w:lineRule="auto"/>
        <w:jc w:val="left"/>
      </w:pPr>
      <w:r>
        <w:rPr>
          <w:rFonts w:ascii="Times New Roman" w:hAnsi="Times New Roman"/>
          <w:sz w:val="17"/>
        </w:rPr>
        <w:t>Oechslin, P. 2003. Making a faster cryptanalytic time-memory trade-off. In Advances in Cryptology — CRYPTO 2003. Lecture Notes in Computer Science, vol. 2729. Springer, 617–630. DOI: https://doi.org/10.1007/978-3-540-45146-4_36.</w:t>
      </w:r>
    </w:p>
    <w:p>
      <w:pPr>
        <w:pStyle w:val="References"/>
        <w:spacing w:before="0" w:after="50" w:line="240" w:lineRule="auto"/>
        <w:jc w:val="left"/>
      </w:pPr>
      <w:r>
        <w:rPr>
          <w:rFonts w:ascii="Times New Roman" w:hAnsi="Times New Roman"/>
          <w:sz w:val="17"/>
        </w:rPr>
        <w:t>Percival, C. 2009. Stronger key derivation via sequential memory-hard functions. In Proceedings of BSDCan 2009: The Technical BSD Conference (Ottawa, Canada, May 2009). (Standardized in IETF RFC 7914, 2016).</w:t>
      </w:r>
    </w:p>
    <w:p>
      <w:pPr>
        <w:pStyle w:val="References"/>
        <w:spacing w:before="0" w:after="50" w:line="240" w:lineRule="auto"/>
        <w:jc w:val="left"/>
      </w:pPr>
      <w:r>
        <w:rPr>
          <w:rFonts w:ascii="Times New Roman" w:hAnsi="Times New Roman"/>
          <w:sz w:val="17"/>
        </w:rPr>
        <w:t>Provos, N. and Mazières, D. 1999. A future-adaptable password scheme. In Proceedings of the FREENIX Track: 1999 USENIX Annual Technical Conference. USENIX Association, 81–91.</w:t>
      </w:r>
    </w:p>
    <w:p>
      <w:pPr>
        <w:pStyle w:val="References"/>
        <w:spacing w:before="0" w:after="50" w:line="240" w:lineRule="auto"/>
        <w:jc w:val="left"/>
      </w:pPr>
      <w:r>
        <w:rPr>
          <w:rFonts w:ascii="Times New Roman" w:hAnsi="Times New Roman"/>
          <w:sz w:val="17"/>
        </w:rPr>
        <w:t>Shannon, C. E. 1948. A mathematical theory of communication. Bell System Technical Journal 27, 3 (1948), 379–423. DOI: https://doi.org/10.1002/j.1538-7305.1948.tb01338.x.</w:t>
      </w:r>
    </w:p>
    <w:p>
      <w:pPr>
        <w:pStyle w:val="References"/>
        <w:spacing w:before="0" w:after="50" w:line="240" w:lineRule="auto"/>
        <w:jc w:val="left"/>
      </w:pPr>
      <w:r>
        <w:rPr>
          <w:rFonts w:ascii="Times New Roman" w:hAnsi="Times New Roman"/>
          <w:sz w:val="17"/>
        </w:rPr>
        <w:t>Steube, J. 2020. Hashcat: Advanced password recovery utility. Documentation and benchmark architecture. https://hashcat.net/hashcat/</w:t>
      </w:r>
    </w:p>
    <w:p>
      <w:pPr>
        <w:pStyle w:val="References"/>
        <w:spacing w:before="0" w:after="50" w:line="240" w:lineRule="auto"/>
        <w:jc w:val="left"/>
      </w:pPr>
      <w:r>
        <w:rPr>
          <w:rFonts w:ascii="Times New Roman" w:hAnsi="Times New Roman"/>
          <w:sz w:val="17"/>
        </w:rPr>
        <w:t>Temoshok, D., Fenton, J. L., Choong, Y.-Y., Lefkovitz, N., Regenscheid, A., Galluzzo, R., and Richer, J. P. 2025. Digital Identity Guidelines: Authentication and Authenticator Management. NIST Special Publication 800-63B-4. National Institute of Standards and Technology. DOI: https://doi.org/10.6028/NIST.SP.800-63B-4.</w:t>
      </w:r>
    </w:p>
    <w:p>
      <w:pPr>
        <w:pStyle w:val="References"/>
        <w:spacing w:before="0" w:after="50" w:line="240" w:lineRule="auto"/>
        <w:jc w:val="left"/>
      </w:pPr>
      <w:r>
        <w:rPr>
          <w:rFonts w:ascii="Times New Roman" w:hAnsi="Times New Roman"/>
          <w:sz w:val="17"/>
        </w:rPr>
        <w:t>Thomas, K., Li, F., Zand, A., Barrett, J., Ranieri, G., Invernizzi, L., Markov, Y., Comanescu, O., Eranti, V., Moscicki, A., Margolis, D., Paxson, V., and Bursztein, E. 2017. Data breaches, phishing, or malware? Understanding the risks of stolen credentials. In Proceedings of the 2017 ACM SIGSAC Conference on Computer and Communications Security (CCS '17). ACM, 1421–1434. DOI: https://doi.org/10.1145/3133956.3134067.</w:t>
      </w:r>
    </w:p>
    <w:p>
      <w:pPr>
        <w:pStyle w:val="References"/>
        <w:spacing w:before="0" w:after="50" w:line="240" w:lineRule="auto"/>
        <w:jc w:val="left"/>
      </w:pPr>
      <w:r>
        <w:rPr>
          <w:rFonts w:ascii="Times New Roman" w:hAnsi="Times New Roman"/>
          <w:sz w:val="17"/>
        </w:rPr>
        <w:t>Ur, B., Segreti, S. M., Bauer, L., Christin, N., Cranor, L. F., Komanduri, S., Meckling, R., Wash, R., and Mazurek, M. L. 2015. Measuring real-world accuracies and biases in modeling password guessability. In Proceedings of the 24th USENIX Security Symposium (USENIX Security 15). USENIX Association, 963–981.</w:t>
      </w:r>
    </w:p>
    <w:p>
      <w:pPr>
        <w:pStyle w:val="References"/>
        <w:spacing w:before="0" w:after="50" w:line="240" w:lineRule="auto"/>
        <w:jc w:val="left"/>
      </w:pPr>
      <w:r>
        <w:rPr>
          <w:rFonts w:ascii="Times New Roman" w:hAnsi="Times New Roman"/>
          <w:sz w:val="17"/>
        </w:rPr>
        <w:t>Webster, F. L. and Tavares, S. E. 1985. On the design of S-boxes. In Advances in Cryptology — CRYPTO '85. Lecture Notes in Computer Science, vol. 218. Springer, 523–534. DOI: https://doi.org/10.1007/3-540-39799-X_41.</w:t>
      </w:r>
    </w:p>
    <w:p>
      <w:pPr>
        <w:pStyle w:val="References"/>
        <w:spacing w:before="0" w:after="50" w:line="240" w:lineRule="auto"/>
        <w:jc w:val="left"/>
      </w:pPr>
      <w:r>
        <w:rPr>
          <w:rFonts w:ascii="Times New Roman" w:hAnsi="Times New Roman"/>
          <w:sz w:val="17"/>
        </w:rPr>
        <w:t>Weir, M., Aggarwal, S., de Medeiros, B., and Glodek, B. 2009. Password cracking using probabilistic context-free grammars. In Proceedings of the 2009 IEEE Symposium on Security and Privacy (S&amp;P '09). IEEE, 391–405. DOI: https://doi.org/10.1109/SP.2009.8.</w:t>
      </w:r>
    </w:p>
    <w:sectPr w:rsidR="008B197E" w:rsidSect="003B4153">
      <w:type w:val="continuous"/>
      <w:pgSz w:w="12240" w:h="15840" w:code="1"/>
      <w:pgMar w:top="1080" w:right="1080" w:bottom="1440" w:left="1080" w:header="720" w:footer="720" w:gutter="0"/>
      <w:cols w:space="475" w:num="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3715" w:rsidRDefault="00DA3715">
      <w:r>
        <w:separator/>
      </w:r>
    </w:p>
  </w:endnote>
  <w:endnote w:type="continuationSeparator" w:id="0">
    <w:p w:rsidR="00DA3715" w:rsidRDefault="00DA3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altName w:val="Malgun Gothic Semilight"/>
    <w:charset w:val="B1"/>
    <w:family w:val="swiss"/>
    <w:pitch w:val="variable"/>
    <w:sig w:usb0="00000800" w:usb1="00000000" w:usb2="00000000" w:usb3="00000000" w:csb0="00000020" w:csb1="00000000"/>
  </w:font>
  <w:font w:name="Times">
    <w:panose1 w:val="02020603050405020304"/>
    <w:charset w:val="00"/>
    <w:family w:val="roman"/>
    <w:pitch w:val="variable"/>
    <w:sig w:usb0="E0002AFF" w:usb1="C0007841"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105B5" w:rsidRDefault="00A105B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A105B5" w:rsidRDefault="00A105B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3715" w:rsidRDefault="00DA3715">
      <w:r>
        <w:separator/>
      </w:r>
    </w:p>
  </w:footnote>
  <w:footnote w:type="continuationSeparator" w:id="0">
    <w:p w:rsidR="00DA3715" w:rsidRDefault="00DA3715">
      <w:r>
        <w:continuationSeparator/>
      </w:r>
    </w:p>
  </w:footnote>
  <w:footnote w:id="1">
    <w:p w:rsidR="00A105B5" w:rsidRDefault="00A105B5">
      <w:pPr>
        <w:pStyle w:val="FootnoteText"/>
      </w:pPr>
      <w:r>
        <w:rPr>
          <w:rStyle w:val="FootnoteReference"/>
        </w:rPr>
        <w:footnoteRef/>
      </w:r>
      <w:r>
        <w:tab/>
        <w:t>If necessary, you may place some address information in a footnote, or in a named section at the end of your paper.</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6F1D6A21"/>
    <w:multiLevelType w:val="singleLevel"/>
    <w:tmpl w:val="A100F9DC"/>
    <w:lvl w:ilvl="0">
      <w:start w:val="1"/>
      <w:numFmt w:val="decimal"/>
      <w:pStyle w:val="References"/>
      <w:lvlText w:val="[%1]"/>
      <w:lvlJc w:val="left"/>
      <w:pPr>
        <w:tabs>
          <w:tab w:val="num" w:pos="360"/>
        </w:tabs>
        <w:ind w:left="360" w:hanging="360"/>
      </w:pPr>
      <w:rPr>
        <w:rFonts w:ascii="Times New Roman" w:hAnsi="Times New Roman" w:hint="default"/>
        <w:sz w:val="18"/>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8CF"/>
    <w:rsid w:val="00016D54"/>
    <w:rsid w:val="000355F6"/>
    <w:rsid w:val="0009634A"/>
    <w:rsid w:val="000A6043"/>
    <w:rsid w:val="001378B9"/>
    <w:rsid w:val="001578EE"/>
    <w:rsid w:val="00172159"/>
    <w:rsid w:val="001E4A9D"/>
    <w:rsid w:val="00206035"/>
    <w:rsid w:val="00276401"/>
    <w:rsid w:val="0027698B"/>
    <w:rsid w:val="002D2C9C"/>
    <w:rsid w:val="002D6A57"/>
    <w:rsid w:val="00375299"/>
    <w:rsid w:val="00377A65"/>
    <w:rsid w:val="003B4153"/>
    <w:rsid w:val="003E3258"/>
    <w:rsid w:val="003E400D"/>
    <w:rsid w:val="00474255"/>
    <w:rsid w:val="004B58F5"/>
    <w:rsid w:val="004D68FC"/>
    <w:rsid w:val="00562F6C"/>
    <w:rsid w:val="00571CED"/>
    <w:rsid w:val="005842F9"/>
    <w:rsid w:val="005B6A93"/>
    <w:rsid w:val="005D28A1"/>
    <w:rsid w:val="00603A4D"/>
    <w:rsid w:val="0061710B"/>
    <w:rsid w:val="0062758A"/>
    <w:rsid w:val="0068547D"/>
    <w:rsid w:val="0069356A"/>
    <w:rsid w:val="006A044B"/>
    <w:rsid w:val="006A1FA3"/>
    <w:rsid w:val="006D451E"/>
    <w:rsid w:val="00737114"/>
    <w:rsid w:val="007611E1"/>
    <w:rsid w:val="00787583"/>
    <w:rsid w:val="00793DF2"/>
    <w:rsid w:val="007C08CF"/>
    <w:rsid w:val="007C3600"/>
    <w:rsid w:val="008536AF"/>
    <w:rsid w:val="0087467E"/>
    <w:rsid w:val="008B0897"/>
    <w:rsid w:val="008B197E"/>
    <w:rsid w:val="008B1A77"/>
    <w:rsid w:val="008F7414"/>
    <w:rsid w:val="00941EFD"/>
    <w:rsid w:val="009B701B"/>
    <w:rsid w:val="009D7B5B"/>
    <w:rsid w:val="009F334B"/>
    <w:rsid w:val="00A105B5"/>
    <w:rsid w:val="00A60B73"/>
    <w:rsid w:val="00A66E61"/>
    <w:rsid w:val="00AA718F"/>
    <w:rsid w:val="00AE2664"/>
    <w:rsid w:val="00B606DF"/>
    <w:rsid w:val="00B63F89"/>
    <w:rsid w:val="00B91AA9"/>
    <w:rsid w:val="00BC4C60"/>
    <w:rsid w:val="00BF3697"/>
    <w:rsid w:val="00C7584B"/>
    <w:rsid w:val="00CB4646"/>
    <w:rsid w:val="00CC70B8"/>
    <w:rsid w:val="00CD7EC6"/>
    <w:rsid w:val="00CE399B"/>
    <w:rsid w:val="00D3292B"/>
    <w:rsid w:val="00DA3715"/>
    <w:rsid w:val="00DA70EA"/>
    <w:rsid w:val="00DB7AD4"/>
    <w:rsid w:val="00E26518"/>
    <w:rsid w:val="00E3178B"/>
    <w:rsid w:val="00EC1F6A"/>
    <w:rsid w:val="00ED3D93"/>
    <w:rsid w:val="00F34659"/>
    <w:rsid w:val="00F50B82"/>
    <w:rsid w:val="00F5619A"/>
    <w:rsid w:val="00F964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PersonName"/>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docId w15:val="{30479447-29D4-48F1-ABBE-598635BB4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0"/>
      <w:jc w:val="both"/>
    </w:pPr>
    <w:rPr>
      <w:sz w:val="18"/>
    </w:rPr>
  </w:style>
  <w:style w:type="paragraph" w:styleId="Heading1">
    <w:name w:val="heading 1"/>
    <w:basedOn w:val="Normal"/>
    <w:next w:val="Normal"/>
    <w:qFormat/>
    <w:pPr>
      <w:keepNext/>
      <w:numPr>
        <w:numId w:val="1"/>
      </w:numPr>
      <w:spacing w:before="40" w:after="0"/>
      <w:jc w:val="left"/>
      <w:outlineLvl w:val="0"/>
    </w:pPr>
    <w:rPr>
      <w:b/>
      <w:kern w:val="28"/>
      <w:sz w:val="24"/>
    </w:rPr>
  </w:style>
  <w:style w:type="paragraph" w:styleId="Heading2">
    <w:name w:val="heading 2"/>
    <w:basedOn w:val="Heading1"/>
    <w:next w:val="Normal"/>
    <w:qFormat/>
    <w:pPr>
      <w:numPr>
        <w:ilvl w:val="1"/>
      </w:numPr>
      <w:outlineLvl w:val="1"/>
    </w:pPr>
  </w:style>
  <w:style w:type="paragraph" w:styleId="Heading3">
    <w:name w:val="heading 3"/>
    <w:basedOn w:val="Heading2"/>
    <w:next w:val="Normal"/>
    <w:qFormat/>
    <w:pPr>
      <w:numPr>
        <w:ilvl w:val="2"/>
      </w:numPr>
      <w:outlineLvl w:val="2"/>
    </w:pPr>
    <w:rPr>
      <w:b w:val="0"/>
      <w:i/>
      <w:sz w:val="22"/>
    </w:rPr>
  </w:style>
  <w:style w:type="paragraph" w:styleId="Heading4">
    <w:name w:val="heading 4"/>
    <w:basedOn w:val="Heading3"/>
    <w:next w:val="Normal"/>
    <w:qFormat/>
    <w:pPr>
      <w:numPr>
        <w:ilvl w:val="3"/>
      </w:numPr>
      <w:outlineLvl w:val="3"/>
    </w:pPr>
  </w:style>
  <w:style w:type="paragraph" w:styleId="Heading5">
    <w:name w:val="heading 5"/>
    <w:basedOn w:val="ListNumber3"/>
    <w:next w:val="Normal"/>
    <w:qFormat/>
    <w:pPr>
      <w:numPr>
        <w:ilvl w:val="4"/>
        <w:numId w:val="1"/>
      </w:numPr>
      <w:spacing w:before="40" w:after="0"/>
      <w:ind w:left="0" w:firstLine="0"/>
      <w:jc w:val="left"/>
      <w:outlineLvl w:val="4"/>
    </w:pPr>
    <w:rPr>
      <w:i/>
      <w:sz w:val="22"/>
    </w:rPr>
  </w:style>
  <w:style w:type="paragraph" w:styleId="Heading6">
    <w:name w:val="heading 6"/>
    <w:basedOn w:val="Normal"/>
    <w:next w:val="Normal"/>
    <w:qFormat/>
    <w:pPr>
      <w:numPr>
        <w:ilvl w:val="5"/>
        <w:numId w:val="1"/>
      </w:numPr>
      <w:spacing w:before="240" w:after="60"/>
      <w:outlineLvl w:val="5"/>
    </w:pPr>
    <w:rPr>
      <w:rFonts w:ascii="Arial" w:hAnsi="Arial"/>
      <w:i/>
      <w:sz w:val="22"/>
    </w:rPr>
  </w:style>
  <w:style w:type="paragraph" w:styleId="Heading7">
    <w:name w:val="heading 7"/>
    <w:basedOn w:val="Normal"/>
    <w:next w:val="Normal"/>
    <w:qFormat/>
    <w:pPr>
      <w:numPr>
        <w:ilvl w:val="6"/>
        <w:numId w:val="1"/>
      </w:numPr>
      <w:spacing w:before="240" w:after="60"/>
      <w:outlineLvl w:val="6"/>
    </w:pPr>
    <w:rPr>
      <w:rFonts w:ascii="Arial" w:hAnsi="Arial"/>
    </w:rPr>
  </w:style>
  <w:style w:type="paragraph" w:styleId="Heading8">
    <w:name w:val="heading 8"/>
    <w:basedOn w:val="Normal"/>
    <w:next w:val="Normal"/>
    <w:qFormat/>
    <w:pPr>
      <w:numPr>
        <w:ilvl w:val="7"/>
        <w:numId w:val="1"/>
      </w:numPr>
      <w:spacing w:before="240" w:after="60"/>
      <w:outlineLvl w:val="7"/>
    </w:pPr>
    <w:rPr>
      <w:rFonts w:ascii="Arial" w:hAnsi="Arial"/>
      <w:i/>
    </w:rPr>
  </w:style>
  <w:style w:type="paragraph" w:styleId="Heading9">
    <w:name w:val="heading 9"/>
    <w:basedOn w:val="Normal"/>
    <w:next w:val="Normal"/>
    <w:qFormat/>
    <w:pPr>
      <w:numPr>
        <w:ilvl w:val="8"/>
        <w:numId w:val="1"/>
      </w:numPr>
      <w:spacing w:before="240" w:after="60"/>
      <w:outlineLvl w:val="8"/>
    </w:pPr>
    <w:rPr>
      <w:rFonts w:ascii="Arial" w:hAnsi="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Pr>
      <w:rFonts w:ascii="Times New Roman" w:hAnsi="Times New Roman"/>
      <w:sz w:val="18"/>
      <w:vertAlign w:val="superscript"/>
    </w:rPr>
  </w:style>
  <w:style w:type="paragraph" w:customStyle="1" w:styleId="Author">
    <w:name w:val="Author"/>
    <w:basedOn w:val="Normal"/>
    <w:pPr>
      <w:jc w:val="center"/>
    </w:pPr>
    <w:rPr>
      <w:rFonts w:ascii="Helvetica" w:hAnsi="Helvetica"/>
      <w:sz w:val="24"/>
    </w:rPr>
  </w:style>
  <w:style w:type="paragraph" w:customStyle="1" w:styleId="Paper-Title">
    <w:name w:val="Paper-Title"/>
    <w:basedOn w:val="Normal"/>
    <w:pPr>
      <w:spacing w:after="120"/>
      <w:jc w:val="center"/>
    </w:pPr>
    <w:rPr>
      <w:rFonts w:ascii="Helvetica" w:hAnsi="Helvetica"/>
      <w:b/>
      <w:sz w:val="36"/>
    </w:rPr>
  </w:style>
  <w:style w:type="paragraph" w:customStyle="1" w:styleId="Affiliations">
    <w:name w:val="Affiliations"/>
    <w:basedOn w:val="Normal"/>
    <w:rsid w:val="00F5619A"/>
    <w:pPr>
      <w:spacing w:after="0"/>
      <w:jc w:val="center"/>
    </w:pPr>
    <w:rPr>
      <w:rFonts w:ascii="Helvetica" w:hAnsi="Helvetica"/>
      <w:sz w:val="20"/>
    </w:rPr>
  </w:style>
  <w:style w:type="paragraph" w:styleId="FootnoteText">
    <w:name w:val="footnote text"/>
    <w:basedOn w:val="Normal"/>
    <w:semiHidden/>
    <w:pPr>
      <w:ind w:left="144" w:hanging="144"/>
    </w:pPr>
  </w:style>
  <w:style w:type="paragraph" w:customStyle="1" w:styleId="Bullet">
    <w:name w:val="Bullet"/>
    <w:basedOn w:val="Normal"/>
    <w:pPr>
      <w:ind w:left="144" w:hanging="144"/>
    </w:pPr>
  </w:style>
  <w:style w:type="paragraph" w:styleId="Footer">
    <w:name w:val="footer"/>
    <w:basedOn w:val="Normal"/>
    <w:pPr>
      <w:tabs>
        <w:tab w:val="center" w:pos="4320"/>
        <w:tab w:val="right" w:pos="8640"/>
      </w:tabs>
    </w:pPr>
  </w:style>
  <w:style w:type="paragraph" w:customStyle="1" w:styleId="E-Mail">
    <w:name w:val="E-Mail"/>
    <w:basedOn w:val="Author"/>
    <w:pPr>
      <w:spacing w:after="60"/>
    </w:pPr>
  </w:style>
  <w:style w:type="paragraph" w:customStyle="1" w:styleId="Abstract">
    <w:name w:val="Abstract"/>
    <w:basedOn w:val="Heading1"/>
    <w:pPr>
      <w:numPr>
        <w:numId w:val="0"/>
      </w:numPr>
      <w:spacing w:before="0" w:after="120"/>
      <w:jc w:val="both"/>
      <w:outlineLvl w:val="9"/>
    </w:pPr>
    <w:rPr>
      <w:b w:val="0"/>
      <w:sz w:val="18"/>
    </w:rPr>
  </w:style>
  <w:style w:type="paragraph" w:styleId="ListNumber3">
    <w:name w:val="List Number 3"/>
    <w:basedOn w:val="Normal"/>
    <w:pPr>
      <w:ind w:left="1080" w:hanging="360"/>
    </w:pPr>
  </w:style>
  <w:style w:type="paragraph" w:customStyle="1" w:styleId="Captions">
    <w:name w:val="Captions"/>
    <w:basedOn w:val="Normal"/>
    <w:pPr>
      <w:framePr w:w="4680" w:h="2160" w:hRule="exact" w:hSpace="187" w:wrap="around" w:hAnchor="text" w:yAlign="bottom" w:anchorLock="1"/>
      <w:jc w:val="center"/>
    </w:pPr>
    <w:rPr>
      <w:b/>
    </w:rPr>
  </w:style>
  <w:style w:type="paragraph" w:customStyle="1" w:styleId="References">
    <w:name w:val="References"/>
    <w:basedOn w:val="Normal"/>
    <w:pPr>
      <w:numPr>
        <w:numId w:val="2"/>
      </w:numPr>
      <w:jc w:val="left"/>
    </w:pPr>
  </w:style>
  <w:style w:type="character" w:styleId="PageNumber">
    <w:name w:val="page number"/>
    <w:basedOn w:val="DefaultParagraphFont"/>
  </w:style>
  <w:style w:type="paragraph" w:styleId="BodyTextIndent">
    <w:name w:val="Body Text Indent"/>
    <w:basedOn w:val="Normal"/>
    <w:pPr>
      <w:spacing w:after="0"/>
      <w:ind w:firstLine="360"/>
    </w:pPr>
  </w:style>
  <w:style w:type="paragraph" w:styleId="DocumentMap">
    <w:name w:val="Document Map"/>
    <w:basedOn w:val="Normal"/>
    <w:semiHidden/>
    <w:pPr>
      <w:shd w:val="clear" w:color="auto" w:fill="000080"/>
    </w:pPr>
    <w:rPr>
      <w:rFonts w:ascii="Tahoma" w:hAnsi="Tahoma" w:cs="Tahoma"/>
    </w:rPr>
  </w:style>
  <w:style w:type="paragraph" w:styleId="Caption">
    <w:name w:val="caption"/>
    <w:basedOn w:val="Normal"/>
    <w:next w:val="Normal"/>
    <w:qFormat/>
    <w:pPr>
      <w:jc w:val="center"/>
    </w:pPr>
    <w:rPr>
      <w:rFonts w:cs="Miriam"/>
      <w:b/>
      <w:bCs/>
      <w:szCs w:val="18"/>
      <w:lang w:eastAsia="en-AU"/>
    </w:rPr>
  </w:style>
  <w:style w:type="paragraph" w:styleId="BodyText">
    <w:name w:val="Body Text"/>
    <w:basedOn w:val="Normal"/>
    <w:pPr>
      <w:framePr w:w="4680" w:h="2112" w:hRule="exact" w:hSpace="187" w:wrap="around" w:vAnchor="page" w:hAnchor="page" w:x="1155" w:y="12245" w:anchorLock="1"/>
      <w:spacing w:after="0"/>
    </w:pPr>
    <w:rPr>
      <w:sz w:val="16"/>
    </w:rPr>
  </w:style>
  <w:style w:type="character" w:styleId="Hyperlink">
    <w:name w:val="Hyperlink"/>
    <w:rPr>
      <w:color w:val="0000FF"/>
      <w:u w:val="single"/>
    </w:rPr>
  </w:style>
  <w:style w:type="paragraph" w:styleId="Header">
    <w:name w:val="header"/>
    <w:basedOn w:val="Normal"/>
    <w:pPr>
      <w:tabs>
        <w:tab w:val="center" w:pos="4320"/>
        <w:tab w:val="right" w:pos="8640"/>
      </w:tabs>
    </w:pPr>
  </w:style>
  <w:style w:type="character" w:styleId="FollowedHyperlink">
    <w:name w:val="FollowedHyperlink"/>
    <w:rsid w:val="0062758A"/>
    <w:rPr>
      <w:color w:val="800080"/>
      <w:u w:val="single"/>
    </w:rPr>
  </w:style>
  <w:style w:type="character" w:styleId="Strong">
    <w:name w:val="Strong"/>
    <w:uiPriority w:val="22"/>
    <w:qFormat/>
    <w:rsid w:val="00B606DF"/>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acm.org/about/class/class/2012" TargetMode="External"/><Relationship Id="rId13" Type="http://schemas.openxmlformats.org/officeDocument/2006/relationships/hyperlink" Target="http://doi.acm.org/10.1145/161468.16147"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2.png"/><Relationship Id="rId17" Type="http://schemas.openxmlformats.org/officeDocument/2006/relationships/hyperlink" Target="http://doi.acm.org/10.1145/90417.90738" TargetMode="External"/><Relationship Id="rId2" Type="http://schemas.openxmlformats.org/officeDocument/2006/relationships/styles" Target="styles.xml"/><Relationship Id="rId16" Type="http://schemas.openxmlformats.org/officeDocument/2006/relationships/hyperlink" Target="http://dx.doi.org/10.1016/j.jss.2005.05.03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doi.acm.org/10.1145/964696.964697" TargetMode="External"/><Relationship Id="rId10" Type="http://schemas.openxmlformats.org/officeDocument/2006/relationships/hyperlink" Target="http://library.caltech.edu/reference/abbreviation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acm.org/publications/article-templates/CCS-HOWTO-v6-12Jan2015.docx" TargetMode="External"/><Relationship Id="rId14" Type="http://schemas.openxmlformats.org/officeDocument/2006/relationships/hyperlink" Target="http://doi.acm.org/10.1145/332040.332491" TargetMode="External"/><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1505</Words>
  <Characters>8115</Characters>
  <Application>Microsoft Office Word</Application>
  <DocSecurity>0</DocSecurity>
  <Lines>238</Lines>
  <Paragraphs>99</Paragraphs>
  <ScaleCrop>false</ScaleCrop>
  <HeadingPairs>
    <vt:vector size="2" baseType="variant">
      <vt:variant>
        <vt:lpstr>Title</vt:lpstr>
      </vt:variant>
      <vt:variant>
        <vt:i4>1</vt:i4>
      </vt:variant>
    </vt:vector>
  </HeadingPairs>
  <TitlesOfParts>
    <vt:vector size="1" baseType="lpstr">
      <vt:lpstr>Proceedings Template - WORD</vt:lpstr>
    </vt:vector>
  </TitlesOfParts>
  <Company>ACM</Company>
  <LinksUpToDate>false</LinksUpToDate>
  <CharactersWithSpaces>9521</CharactersWithSpaces>
  <SharedDoc>false</SharedDoc>
  <HLinks>
    <vt:vector size="48" baseType="variant">
      <vt:variant>
        <vt:i4>3473518</vt:i4>
      </vt:variant>
      <vt:variant>
        <vt:i4>24</vt:i4>
      </vt:variant>
      <vt:variant>
        <vt:i4>0</vt:i4>
      </vt:variant>
      <vt:variant>
        <vt:i4>5</vt:i4>
      </vt:variant>
      <vt:variant>
        <vt:lpwstr>http://doi.acm.org/10.1145/90417.90738</vt:lpwstr>
      </vt:variant>
      <vt:variant>
        <vt:lpwstr/>
      </vt:variant>
      <vt:variant>
        <vt:i4>3735607</vt:i4>
      </vt:variant>
      <vt:variant>
        <vt:i4>21</vt:i4>
      </vt:variant>
      <vt:variant>
        <vt:i4>0</vt:i4>
      </vt:variant>
      <vt:variant>
        <vt:i4>5</vt:i4>
      </vt:variant>
      <vt:variant>
        <vt:lpwstr>http://dx.doi.org/10.1016/j.jss.2005.05.030</vt:lpwstr>
      </vt:variant>
      <vt:variant>
        <vt:lpwstr/>
      </vt:variant>
      <vt:variant>
        <vt:i4>1310784</vt:i4>
      </vt:variant>
      <vt:variant>
        <vt:i4>18</vt:i4>
      </vt:variant>
      <vt:variant>
        <vt:i4>0</vt:i4>
      </vt:variant>
      <vt:variant>
        <vt:i4>5</vt:i4>
      </vt:variant>
      <vt:variant>
        <vt:lpwstr>http://doi.acm.org/10.1145/964696.964697</vt:lpwstr>
      </vt:variant>
      <vt:variant>
        <vt:lpwstr/>
      </vt:variant>
      <vt:variant>
        <vt:i4>1310793</vt:i4>
      </vt:variant>
      <vt:variant>
        <vt:i4>15</vt:i4>
      </vt:variant>
      <vt:variant>
        <vt:i4>0</vt:i4>
      </vt:variant>
      <vt:variant>
        <vt:i4>5</vt:i4>
      </vt:variant>
      <vt:variant>
        <vt:lpwstr>http://doi.acm.org/10.1145/332040.332491</vt:lpwstr>
      </vt:variant>
      <vt:variant>
        <vt:lpwstr/>
      </vt:variant>
      <vt:variant>
        <vt:i4>2293880</vt:i4>
      </vt:variant>
      <vt:variant>
        <vt:i4>12</vt:i4>
      </vt:variant>
      <vt:variant>
        <vt:i4>0</vt:i4>
      </vt:variant>
      <vt:variant>
        <vt:i4>5</vt:i4>
      </vt:variant>
      <vt:variant>
        <vt:lpwstr>http://doi.acm.org/10.1145/161468.16147</vt:lpwstr>
      </vt:variant>
      <vt:variant>
        <vt:lpwstr/>
      </vt:variant>
      <vt:variant>
        <vt:i4>2424948</vt:i4>
      </vt:variant>
      <vt:variant>
        <vt:i4>9</vt:i4>
      </vt:variant>
      <vt:variant>
        <vt:i4>0</vt:i4>
      </vt:variant>
      <vt:variant>
        <vt:i4>5</vt:i4>
      </vt:variant>
      <vt:variant>
        <vt:lpwstr>http://library.caltech.edu/reference/abbreviations/</vt:lpwstr>
      </vt:variant>
      <vt:variant>
        <vt:lpwstr/>
      </vt:variant>
      <vt:variant>
        <vt:i4>2097211</vt:i4>
      </vt:variant>
      <vt:variant>
        <vt:i4>3</vt:i4>
      </vt:variant>
      <vt:variant>
        <vt:i4>0</vt:i4>
      </vt:variant>
      <vt:variant>
        <vt:i4>5</vt:i4>
      </vt:variant>
      <vt:variant>
        <vt:lpwstr>CCS-HOWTO-v5-2Sep2014.docx</vt:lpwstr>
      </vt:variant>
      <vt:variant>
        <vt:lpwstr/>
      </vt:variant>
      <vt:variant>
        <vt:i4>5636168</vt:i4>
      </vt:variant>
      <vt:variant>
        <vt:i4>0</vt:i4>
      </vt:variant>
      <vt:variant>
        <vt:i4>0</vt:i4>
      </vt:variant>
      <vt:variant>
        <vt:i4>5</vt:i4>
      </vt:variant>
      <vt:variant>
        <vt:lpwstr>http://www.acm.org/about/class/class/2012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Proceedings Template - WORD</dc:title>
  <dc:creator>End User Computing Services</dc:creator>
  <dc:description>\begin{CCSXML}
&lt;ccs2012&gt;
&lt;concept&gt;
&lt;concept_id&gt;10002951.10002952.10003190&lt;/concept_id&gt;
&lt;concept_desc&gt;Information systems~Database management system engines&lt;/concept_desc&gt;
&lt;concept_significance&gt;500&lt;/concept_significance&gt;
&lt;/concept&gt;
&lt;concept&gt;
&lt;concept_id&gt;10010147.10010341.10010349.10010362&lt;/concept_id&gt;
&lt;concept_desc&gt;Computing methodologies~Massively parallel and high-performance simulations&lt;/concept_desc&gt;
&lt;concept_significance&gt;500&lt;/concept_significance&gt;
&lt;/concept&gt;
&lt;concept&gt;
&lt;concept_id&gt;10003033.10003079&lt;/concept_id&gt;
&lt;concept_desc&gt;Networks~Network performance evaluation&lt;/concept_desc&gt;
&lt;concept_significance&gt;300&lt;/concept_significance&gt;
&lt;/concept&gt;
&lt;concept&gt;
&lt;concept_id&gt;10010520.10010575&lt;/concept_id&gt;
&lt;concept_desc&gt;Computer systems organization~Dependable and fault-tolerant systems and networks&lt;/concept_desc&gt;
&lt;concept_significance&gt;300&lt;/concept_significance&gt;
&lt;/concept&gt;
&lt;concept&gt;
&lt;concept_id&gt;10011007.10010940.10010971.10010980&lt;/concept_id&gt;
&lt;concept_desc&gt;Software and its engineering~Software system models&lt;/concept_desc&gt;
&lt;concept_significance&gt;300&lt;/concept_significance&gt;
&lt;/concept&gt;
&lt;concept&gt;
&lt;concept_id&gt;10011007.10011006.10011008.10011024.10011026&lt;/concept_id&gt;
&lt;concept_desc&gt;Software and its engineering~Inheritance&lt;/concept_desc&gt;
&lt;concept_significance&gt;300&lt;/concept_significance&gt;
&lt;/concept&gt;
&lt;concept&gt;
&lt;concept_id&gt;10002944.10011123.10011674&lt;/concept_id&gt;
&lt;concept_desc&gt;General and reference~Performance&lt;/concept_desc&gt;
&lt;concept_significance&gt;100&lt;/concept_significance&gt;
&lt;/concept&gt;
&lt;/ccs2012&gt;
\end{CCSXML}
\ccsdesc[500]{Information systems~Database management system engines}
\ccsdesc[500]{Computing methodologies~Massively parallel and high-performance simulations}
\ccsdesc[300]{Networks~Network performance evaluation}
\ccsdesc[300]{Computer systems organization~Dependable and fault-tolerant systems and networks}
\ccsdesc[300]{Software and its engineering~Software system models}
\ccsdesc[300]{Software and its engineering~Inheritance}
\ccsdesc[100]{General and reference~Performance}</dc:description>
  <cp:lastModifiedBy>Windows User</cp:lastModifiedBy>
  <cp:revision>2</cp:revision>
  <cp:lastPrinted>2011-01-13T15:51:00Z</cp:lastPrinted>
  <dcterms:created xsi:type="dcterms:W3CDTF">2024-01-08T08:22:00Z</dcterms:created>
  <dcterms:modified xsi:type="dcterms:W3CDTF">2024-01-08T08:22:00Z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ecked by">
    <vt:lpwstr>Gerald Murray</vt:lpwstr>
  </property>
</Properties>
</file>