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xml" ContentType="application/vnd.openxmlformats-officedocument.wordprocessingml.footer+xml"/>
  <Override PartName="/word/header.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40E38CAA" w:rsidP="40E38CAA" w:rsidRDefault="40E38CAA" w14:paraId="6DB1C3F9" w14:textId="7FA6BA3D">
      <w:pPr>
        <w:pStyle w:val="Normal"/>
        <w:jc w:val="left"/>
        <w:rPr>
          <w:rFonts w:ascii="Aptos" w:hAnsi="Aptos" w:eastAsia="Aptos" w:cs="Aptos"/>
          <w:noProof w:val="0"/>
          <w:sz w:val="24"/>
          <w:szCs w:val="24"/>
          <w:lang w:val="pt-BR"/>
        </w:rPr>
      </w:pPr>
      <w:r>
        <w:br/>
      </w:r>
      <w:r w:rsidRPr="40E38CAA" w:rsidR="0BA415B5">
        <w:rPr>
          <w:rFonts w:ascii="Aptos" w:hAnsi="Aptos" w:eastAsia="Aptos" w:cs="Aptos"/>
          <w:noProof w:val="0"/>
          <w:sz w:val="24"/>
          <w:szCs w:val="24"/>
          <w:lang w:val="pt-BR"/>
        </w:rPr>
        <w:t xml:space="preserve">                                                                        </w:t>
      </w:r>
      <w:r w:rsidRPr="40E38CAA" w:rsidR="741EE69F">
        <w:rPr>
          <w:rFonts w:ascii="Aptos" w:hAnsi="Aptos" w:eastAsia="Aptos" w:cs="Aptos"/>
          <w:noProof w:val="0"/>
          <w:sz w:val="24"/>
          <w:szCs w:val="24"/>
          <w:lang w:val="pt-BR"/>
        </w:rPr>
        <w:t xml:space="preserve"> </w:t>
      </w:r>
      <w:r w:rsidRPr="40E38CAA" w:rsidR="741EE69F">
        <w:rPr>
          <w:rFonts w:ascii="Aptos" w:hAnsi="Aptos" w:eastAsia="Aptos" w:cs="Aptos"/>
          <w:b w:val="1"/>
          <w:bCs w:val="1"/>
          <w:noProof w:val="0"/>
          <w:sz w:val="24"/>
          <w:szCs w:val="24"/>
          <w:lang w:val="pt-BR"/>
        </w:rPr>
        <w:t>PROPOSTA FINAL</w:t>
      </w:r>
      <w:r w:rsidRPr="40E38CAA" w:rsidR="741EE69F">
        <w:rPr>
          <w:rFonts w:ascii="Aptos" w:hAnsi="Aptos" w:eastAsia="Aptos" w:cs="Aptos"/>
          <w:noProof w:val="0"/>
          <w:sz w:val="24"/>
          <w:szCs w:val="24"/>
          <w:lang w:val="pt-BR"/>
        </w:rPr>
        <w:t xml:space="preserve"> </w:t>
      </w:r>
      <w:r>
        <w:br/>
      </w:r>
    </w:p>
    <w:p w:rsidR="40E38CAA" w:rsidP="40E38CAA" w:rsidRDefault="40E38CAA" w14:paraId="1F5CED5B" w14:textId="374CD1BF">
      <w:pPr>
        <w:pStyle w:val="Normal"/>
        <w:jc w:val="left"/>
      </w:pPr>
      <w:r>
        <w:br/>
      </w:r>
      <w:r w:rsidRPr="40E38CAA" w:rsidR="741EE69F">
        <w:rPr>
          <w:rFonts w:ascii="Aptos" w:hAnsi="Aptos" w:eastAsia="Aptos" w:cs="Aptos"/>
          <w:noProof w:val="0"/>
          <w:sz w:val="24"/>
          <w:szCs w:val="24"/>
          <w:lang w:val="pt-BR"/>
        </w:rPr>
        <w:t>IDENTIFICAÇÃO DO PROPONENTE</w:t>
      </w:r>
      <w:r>
        <w:br/>
      </w:r>
      <w:r>
        <w:br/>
      </w:r>
      <w:r w:rsidRPr="40E38CAA" w:rsidR="741EE69F">
        <w:rPr>
          <w:rFonts w:ascii="Aptos" w:hAnsi="Aptos" w:eastAsia="Aptos" w:cs="Aptos"/>
          <w:noProof w:val="0"/>
          <w:sz w:val="24"/>
          <w:szCs w:val="24"/>
          <w:lang w:val="pt-BR"/>
        </w:rPr>
        <w:t xml:space="preserve">Razão Social: GOLDFLEX INDUSTRIA E COMERCIO DE MOVEIS E EQUIPAMENTOS LTDA CNPJ: 33.661.439/0001-14 INSCRIÇÃO ESTADUAL: 456.195.895118 Endereço: R: Eça de Queiroz, 199 Loteamento Linda </w:t>
      </w:r>
      <w:r w:rsidRPr="40E38CAA" w:rsidR="741EE69F">
        <w:rPr>
          <w:rFonts w:ascii="Aptos" w:hAnsi="Aptos" w:eastAsia="Aptos" w:cs="Aptos"/>
          <w:noProof w:val="0"/>
          <w:sz w:val="24"/>
          <w:szCs w:val="24"/>
          <w:lang w:val="pt-BR"/>
        </w:rPr>
        <w:t>Chaib</w:t>
      </w:r>
      <w:r w:rsidRPr="40E38CAA" w:rsidR="741EE69F">
        <w:rPr>
          <w:rFonts w:ascii="Aptos" w:hAnsi="Aptos" w:eastAsia="Aptos" w:cs="Aptos"/>
          <w:noProof w:val="0"/>
          <w:sz w:val="24"/>
          <w:szCs w:val="24"/>
          <w:lang w:val="pt-BR"/>
        </w:rPr>
        <w:t xml:space="preserve"> Mogi Mirim - SP Telefone: (19) 97126-6023 E-mail: licitagoldflex@gmail.com Dados Bancários: Banco do Brasil Ag 578-9 C/C 56817-1.</w:t>
      </w:r>
      <w:r>
        <w:br/>
      </w:r>
      <w:r>
        <w:br/>
      </w:r>
      <w:r w:rsidRPr="40E38CAA" w:rsidR="741EE69F">
        <w:rPr>
          <w:rFonts w:ascii="Aptos" w:hAnsi="Aptos" w:eastAsia="Aptos" w:cs="Aptos"/>
          <w:noProof w:val="0"/>
          <w:sz w:val="24"/>
          <w:szCs w:val="24"/>
          <w:lang w:val="pt-BR"/>
        </w:rPr>
        <w:t>Representante: Brendon Matheus Batista, CPF: 432.079.848-19.</w:t>
      </w:r>
      <w:r>
        <w:br/>
      </w:r>
      <w:r w:rsidRPr="40E38CAA" w:rsidR="741EE69F">
        <w:rPr>
          <w:rFonts w:ascii="Aptos" w:hAnsi="Aptos" w:eastAsia="Aptos" w:cs="Aptos"/>
          <w:noProof w:val="0"/>
          <w:sz w:val="24"/>
          <w:szCs w:val="24"/>
          <w:lang w:val="pt-BR"/>
        </w:rPr>
        <w:t>Cargo: Sócio Majoritário / Engenheiro de produção.</w:t>
      </w:r>
      <w:r>
        <w:br/>
      </w:r>
      <w:r w:rsidRPr="40E38CAA" w:rsidR="741EE69F">
        <w:rPr>
          <w:rFonts w:ascii="Aptos" w:hAnsi="Aptos" w:eastAsia="Aptos" w:cs="Aptos"/>
          <w:noProof w:val="0"/>
          <w:sz w:val="24"/>
          <w:szCs w:val="24"/>
          <w:lang w:val="pt-BR"/>
        </w:rPr>
        <w:t>Brasileiro, Naturalidade: Mogi Mirim - SP.</w:t>
      </w:r>
      <w:r>
        <w:br/>
      </w:r>
      <w:r w:rsidRPr="40E38CAA" w:rsidR="741EE69F">
        <w:rPr>
          <w:rFonts w:ascii="Aptos" w:hAnsi="Aptos" w:eastAsia="Aptos" w:cs="Aptos"/>
          <w:noProof w:val="0"/>
          <w:sz w:val="24"/>
          <w:szCs w:val="24"/>
          <w:lang w:val="pt-BR"/>
        </w:rPr>
        <w:t xml:space="preserve">RG: 50.630.673-2 Órgão </w:t>
      </w:r>
      <w:r w:rsidRPr="40E38CAA" w:rsidR="741EE69F">
        <w:rPr>
          <w:rFonts w:ascii="Aptos" w:hAnsi="Aptos" w:eastAsia="Aptos" w:cs="Aptos"/>
          <w:noProof w:val="0"/>
          <w:sz w:val="24"/>
          <w:szCs w:val="24"/>
          <w:lang w:val="pt-BR"/>
        </w:rPr>
        <w:t>Emissor :</w:t>
      </w:r>
      <w:r w:rsidRPr="40E38CAA" w:rsidR="741EE69F">
        <w:rPr>
          <w:rFonts w:ascii="Aptos" w:hAnsi="Aptos" w:eastAsia="Aptos" w:cs="Aptos"/>
          <w:noProof w:val="0"/>
          <w:sz w:val="24"/>
          <w:szCs w:val="24"/>
          <w:lang w:val="pt-BR"/>
        </w:rPr>
        <w:t xml:space="preserve"> SSP - SP. </w:t>
      </w:r>
      <w:r>
        <w:br/>
      </w:r>
      <w:r w:rsidRPr="40E38CAA" w:rsidR="741EE69F">
        <w:rPr>
          <w:rFonts w:ascii="Aptos" w:hAnsi="Aptos" w:eastAsia="Aptos" w:cs="Aptos"/>
          <w:noProof w:val="0"/>
          <w:sz w:val="24"/>
          <w:szCs w:val="24"/>
          <w:lang w:val="pt-BR"/>
        </w:rPr>
        <w:t xml:space="preserve">Endereço: R: Eça de Queiroz, 199 Loteamento Linda </w:t>
      </w:r>
      <w:r w:rsidRPr="40E38CAA" w:rsidR="741EE69F">
        <w:rPr>
          <w:rFonts w:ascii="Aptos" w:hAnsi="Aptos" w:eastAsia="Aptos" w:cs="Aptos"/>
          <w:noProof w:val="0"/>
          <w:sz w:val="24"/>
          <w:szCs w:val="24"/>
          <w:lang w:val="pt-BR"/>
        </w:rPr>
        <w:t>Chaib</w:t>
      </w:r>
      <w:r w:rsidRPr="40E38CAA" w:rsidR="741EE69F">
        <w:rPr>
          <w:rFonts w:ascii="Aptos" w:hAnsi="Aptos" w:eastAsia="Aptos" w:cs="Aptos"/>
          <w:noProof w:val="0"/>
          <w:sz w:val="24"/>
          <w:szCs w:val="24"/>
          <w:lang w:val="pt-BR"/>
        </w:rPr>
        <w:t xml:space="preserve"> Mogi Mirim - SP.</w:t>
      </w:r>
      <w:r>
        <w:br/>
      </w:r>
      <w:r w:rsidRPr="40E38CAA" w:rsidR="741EE69F">
        <w:rPr>
          <w:rFonts w:ascii="Aptos" w:hAnsi="Aptos" w:eastAsia="Aptos" w:cs="Aptos"/>
          <w:noProof w:val="0"/>
          <w:sz w:val="24"/>
          <w:szCs w:val="24"/>
          <w:lang w:val="pt-BR"/>
        </w:rPr>
        <w:t>CEP: 13.802-450.</w:t>
      </w:r>
      <w:r>
        <w:br/>
      </w:r>
      <w:r w:rsidRPr="40E38CAA" w:rsidR="741EE69F">
        <w:rPr>
          <w:rFonts w:ascii="Aptos" w:hAnsi="Aptos" w:eastAsia="Aptos" w:cs="Aptos"/>
          <w:noProof w:val="0"/>
          <w:sz w:val="24"/>
          <w:szCs w:val="24"/>
          <w:lang w:val="pt-BR"/>
        </w:rPr>
        <w:t>Telefone: (19) 97126-6023</w:t>
      </w:r>
    </w:p>
    <w:p/>
    <w:p>
      <w:pPr>
        <w:sectPr>
          <w:pgSz w:w="11906" w:h="16838"/>
          <w:pgMar w:top="1440" w:right="1440" w:bottom="1440" w:left="1440" w:header="720" w:footer="720" w:gutter="0"/>
          <w:cols w:space="720"/>
          <w:docGrid w:linePitch="360"/>
          <w:headerReference w:type="default" r:id="R00d452cb0068419b"/>
          <w:footerReference w:type="default" r:id="Re0650d59ca3d4755"/>
        </w:sectPr>
      </w:pPr>
    </w:p>
    <w:tbl>
      <w:tblPr>
        <w:tblStyle w:val="TableGrid"/>
        <w:tblW w:type="dxa" w:w="10880"/>
        <w:jc w:val="center"/>
        <w:tblLayout w:type="fixed"/>
        <w:tblLook w:firstColumn="1" w:firstRow="1" w:lastColumn="0" w:lastRow="0" w:noHBand="0" w:noVBand="1" w:val="04A0"/>
      </w:tblPr>
      <w:tblGrid>
        <w:gridCol w:w="1578"/>
        <w:gridCol w:w="1578"/>
        <w:gridCol w:w="1578"/>
        <w:gridCol w:w="1578"/>
        <w:gridCol w:w="1578"/>
        <w:gridCol w:w="1578"/>
        <w:gridCol w:w="1578"/>
      </w:tblGrid>
      <w:tr>
        <w:trPr>
          <w:tblHeader w:val="true"/>
        </w:trPr>
        <w:tc>
          <w:tcPr>
            <w:tcW w:type="dxa" w:w="520"/>
            <w:tcMar>
              <w:top w:w="80" w:type="dxa"/>
              <w:bottom w:w="80" w:type="dxa"/>
              <w:start w:w="100" w:type="dxa"/>
              <w:end w:w="100" w:type="dxa"/>
            </w:tcMar>
            <w:vAlign w:val="center"/>
          </w:tcPr>
          <w:p>
            <w:pPr>
              <w:spacing w:after="0" w:line="240" w:lineRule="auto"/>
              <w:jc w:val="center"/>
            </w:pPr>
            <w:r/>
            <w:r>
              <w:rPr>
                <w:rFonts w:ascii="Arial" w:hAnsi="Arial"/>
                <w:b/>
                <w:sz w:val="14"/>
              </w:rPr>
              <w:t>ITEM</w:t>
            </w:r>
          </w:p>
        </w:tc>
        <w:tc>
          <w:tcPr>
            <w:tcW w:type="dxa" w:w="580"/>
            <w:tcMar>
              <w:top w:w="80" w:type="dxa"/>
              <w:bottom w:w="80" w:type="dxa"/>
              <w:start w:w="100" w:type="dxa"/>
              <w:end w:w="100" w:type="dxa"/>
            </w:tcMar>
            <w:vAlign w:val="center"/>
          </w:tcPr>
          <w:p>
            <w:pPr>
              <w:spacing w:after="0" w:line="240" w:lineRule="auto"/>
              <w:jc w:val="center"/>
            </w:pPr>
            <w:r/>
            <w:r>
              <w:rPr>
                <w:rFonts w:ascii="Arial" w:hAnsi="Arial"/>
                <w:b/>
                <w:sz w:val="14"/>
              </w:rPr>
              <w:t>QTD</w:t>
            </w:r>
          </w:p>
        </w:tc>
        <w:tc>
          <w:tcPr>
            <w:tcW w:type="dxa" w:w="500"/>
            <w:tcMar>
              <w:top w:w="80" w:type="dxa"/>
              <w:bottom w:w="80" w:type="dxa"/>
              <w:start w:w="100" w:type="dxa"/>
              <w:end w:w="100" w:type="dxa"/>
            </w:tcMar>
            <w:vAlign w:val="center"/>
          </w:tcPr>
          <w:p>
            <w:pPr>
              <w:spacing w:after="0" w:line="240" w:lineRule="auto"/>
              <w:jc w:val="center"/>
            </w:pPr>
            <w:r/>
            <w:r>
              <w:rPr>
                <w:rFonts w:ascii="Arial" w:hAnsi="Arial"/>
                <w:b/>
                <w:sz w:val="14"/>
              </w:rPr>
              <w:t>UND</w:t>
            </w:r>
          </w:p>
        </w:tc>
        <w:tc>
          <w:tcPr>
            <w:tcW w:type="dxa" w:w="5200"/>
            <w:tcMar>
              <w:top w:w="80" w:type="dxa"/>
              <w:bottom w:w="80" w:type="dxa"/>
              <w:start w:w="100" w:type="dxa"/>
              <w:end w:w="100" w:type="dxa"/>
            </w:tcMar>
            <w:vAlign w:val="center"/>
          </w:tcPr>
          <w:p>
            <w:pPr>
              <w:spacing w:after="0" w:line="240" w:lineRule="auto"/>
              <w:jc w:val="center"/>
            </w:pPr>
            <w:r/>
            <w:r>
              <w:rPr>
                <w:rFonts w:ascii="Arial" w:hAnsi="Arial"/>
                <w:b/>
                <w:sz w:val="14"/>
              </w:rPr>
              <w:t>DESCRIÇÃO.</w:t>
            </w:r>
          </w:p>
        </w:tc>
        <w:tc>
          <w:tcPr>
            <w:tcW w:type="dxa" w:w="1200"/>
            <w:tcMar>
              <w:top w:w="80" w:type="dxa"/>
              <w:bottom w:w="80" w:type="dxa"/>
              <w:start w:w="100" w:type="dxa"/>
              <w:end w:w="100" w:type="dxa"/>
            </w:tcMar>
            <w:vAlign w:val="center"/>
          </w:tcPr>
          <w:p>
            <w:pPr>
              <w:spacing w:after="0" w:line="240" w:lineRule="auto"/>
              <w:jc w:val="center"/>
            </w:pPr>
            <w:r/>
            <w:r>
              <w:rPr>
                <w:rFonts w:ascii="Arial" w:hAnsi="Arial"/>
                <w:b/>
                <w:sz w:val="14"/>
              </w:rPr>
              <w:t>MARCA</w:t>
            </w:r>
          </w:p>
        </w:tc>
        <w:tc>
          <w:tcPr>
            <w:tcW w:type="dxa" w:w="1350"/>
            <w:tcMar>
              <w:top w:w="80" w:type="dxa"/>
              <w:bottom w:w="80" w:type="dxa"/>
              <w:start w:w="100" w:type="dxa"/>
              <w:end w:w="100" w:type="dxa"/>
            </w:tcMar>
            <w:vAlign w:val="center"/>
          </w:tcPr>
          <w:p>
            <w:pPr>
              <w:spacing w:after="0" w:line="240" w:lineRule="auto"/>
              <w:jc w:val="center"/>
            </w:pPr>
            <w:r/>
            <w:r>
              <w:rPr>
                <w:rFonts w:ascii="Arial" w:hAnsi="Arial"/>
                <w:b/>
                <w:sz w:val="14"/>
              </w:rPr>
              <w:t>VALOR UNITÁRIO</w:t>
            </w:r>
          </w:p>
        </w:tc>
        <w:tc>
          <w:tcPr>
            <w:tcW w:type="dxa" w:w="1530"/>
            <w:tcMar>
              <w:top w:w="80" w:type="dxa"/>
              <w:bottom w:w="80" w:type="dxa"/>
              <w:start w:w="100" w:type="dxa"/>
              <w:end w:w="100" w:type="dxa"/>
            </w:tcMar>
            <w:vAlign w:val="center"/>
          </w:tcPr>
          <w:p>
            <w:pPr>
              <w:spacing w:after="0" w:line="240" w:lineRule="auto"/>
              <w:jc w:val="center"/>
            </w:pPr>
            <w:r/>
            <w:r>
              <w:rPr>
                <w:rFonts w:ascii="Arial" w:hAnsi="Arial"/>
                <w:b/>
                <w:sz w:val="14"/>
              </w:rPr>
              <w:t>VALOR TOTAL</w:t>
            </w:r>
          </w:p>
        </w:tc>
      </w:tr>
      <w:tr>
        <w:tc>
          <w:tcPr>
            <w:tcW w:type="dxa" w:w="520"/>
            <w:tcMar>
              <w:top w:w="80" w:type="dxa"/>
              <w:bottom w:w="80" w:type="dxa"/>
              <w:start w:w="100" w:type="dxa"/>
              <w:end w:w="100" w:type="dxa"/>
            </w:tcMar>
            <w:vAlign w:val="top"/>
          </w:tcPr>
          <w:p>
            <w:pPr>
              <w:spacing w:after="0" w:line="240" w:lineRule="auto"/>
              <w:jc w:val="center"/>
            </w:pPr>
            <w:r/>
            <w:r>
              <w:rPr>
                <w:rFonts w:ascii="Arial" w:hAnsi="Arial"/>
                <w:b w:val="0"/>
                <w:sz w:val="12"/>
              </w:rPr>
              <w:t>1</w:t>
            </w:r>
          </w:p>
        </w:tc>
        <w:tc>
          <w:tcPr>
            <w:tcW w:type="dxa" w:w="580"/>
            <w:tcMar>
              <w:top w:w="80" w:type="dxa"/>
              <w:bottom w:w="80" w:type="dxa"/>
              <w:start w:w="100" w:type="dxa"/>
              <w:end w:w="100" w:type="dxa"/>
            </w:tcMar>
            <w:vAlign w:val="top"/>
          </w:tcPr>
          <w:p>
            <w:pPr>
              <w:spacing w:after="0" w:line="240" w:lineRule="auto"/>
              <w:jc w:val="center"/>
            </w:pPr>
            <w:r/>
            <w:r>
              <w:rPr>
                <w:rFonts w:ascii="Arial" w:hAnsi="Arial"/>
                <w:b w:val="0"/>
                <w:sz w:val="12"/>
              </w:rPr>
              <w:t>20</w:t>
            </w:r>
          </w:p>
        </w:tc>
        <w:tc>
          <w:tcPr>
            <w:tcW w:type="dxa" w:w="500"/>
            <w:tcMar>
              <w:top w:w="80" w:type="dxa"/>
              <w:bottom w:w="80" w:type="dxa"/>
              <w:start w:w="100" w:type="dxa"/>
              <w:end w:w="100" w:type="dxa"/>
            </w:tcMar>
            <w:vAlign w:val="top"/>
          </w:tcPr>
          <w:p>
            <w:pPr>
              <w:spacing w:after="0" w:line="240" w:lineRule="auto"/>
              <w:jc w:val="center"/>
            </w:pPr>
            <w:r/>
            <w:r>
              <w:rPr>
                <w:rFonts w:ascii="Arial" w:hAnsi="Arial"/>
                <w:b w:val="0"/>
                <w:sz w:val="12"/>
              </w:rPr>
              <w:t>UND</w:t>
            </w:r>
          </w:p>
        </w:tc>
        <w:tc>
          <w:tcPr>
            <w:tcW w:type="dxa" w:w="5200"/>
            <w:tcMar>
              <w:top w:w="80" w:type="dxa"/>
              <w:bottom w:w="80" w:type="dxa"/>
              <w:start w:w="100" w:type="dxa"/>
              <w:end w:w="100" w:type="dxa"/>
            </w:tcMar>
            <w:vAlign w:val="top"/>
          </w:tcPr>
          <w:p>
            <w:pPr>
              <w:spacing w:after="0" w:line="240" w:lineRule="auto"/>
              <w:jc w:val="left"/>
            </w:pPr>
            <w:r/>
            <w:r>
              <w:rPr>
                <w:rFonts w:ascii="Arial" w:hAnsi="Arial"/>
                <w:b w:val="0"/>
                <w:sz w:val="12"/>
              </w:rPr>
              <w:t>Micro cateter revestido internamente com PTFE e cobertura hidrofílica, montado no fio guia, compreendido nos tamanhos de 2,5F a 3,0F, comprimento do cateter a partir de 110cm. Ponta moldável.</w:t>
            </w:r>
          </w:p>
        </w:tc>
        <w:tc>
          <w:tcPr>
            <w:tcW w:type="dxa" w:w="1200"/>
            <w:tcMar>
              <w:top w:w="80" w:type="dxa"/>
              <w:bottom w:w="80" w:type="dxa"/>
              <w:start w:w="100" w:type="dxa"/>
              <w:end w:w="100" w:type="dxa"/>
            </w:tcMar>
            <w:vAlign w:val="top"/>
          </w:tcPr>
          <w:p>
            <w:pPr>
              <w:spacing w:after="0" w:line="240" w:lineRule="auto"/>
              <w:jc w:val="center"/>
            </w:pPr>
            <w:r/>
            <w:r>
              <w:rPr>
                <w:rFonts w:ascii="Arial" w:hAnsi="Arial"/>
                <w:b w:val="0"/>
                <w:sz w:val="12"/>
              </w:rPr>
              <w:t>Goldflex</w:t>
            </w:r>
          </w:p>
        </w:tc>
        <w:tc>
          <w:tcPr>
            <w:tcW w:type="dxa" w:w="1350"/>
            <w:tcMar>
              <w:top w:w="80" w:type="dxa"/>
              <w:bottom w:w="80" w:type="dxa"/>
              <w:start w:w="100" w:type="dxa"/>
              <w:end w:w="100" w:type="dxa"/>
            </w:tcMar>
            <w:vAlign w:val="top"/>
          </w:tcPr>
          <w:p>
            <w:pPr>
              <w:spacing w:after="0" w:line="240" w:lineRule="auto"/>
              <w:jc w:val="center"/>
            </w:pPr>
            <w:r/>
            <w:r>
              <w:rPr>
                <w:rFonts w:ascii="Arial" w:hAnsi="Arial"/>
                <w:b w:val="0"/>
                <w:sz w:val="12"/>
              </w:rPr>
              <w:t>R$ 1.880,00</w:t>
            </w:r>
          </w:p>
        </w:tc>
        <w:tc>
          <w:tcPr>
            <w:tcW w:type="dxa" w:w="1530"/>
            <w:tcMar>
              <w:top w:w="80" w:type="dxa"/>
              <w:bottom w:w="80" w:type="dxa"/>
              <w:start w:w="100" w:type="dxa"/>
              <w:end w:w="100" w:type="dxa"/>
            </w:tcMar>
            <w:vAlign w:val="top"/>
          </w:tcPr>
          <w:p>
            <w:pPr>
              <w:spacing w:after="0" w:line="240" w:lineRule="auto"/>
              <w:jc w:val="center"/>
            </w:pPr>
            <w:r/>
            <w:r>
              <w:rPr>
                <w:rFonts w:ascii="Arial" w:hAnsi="Arial"/>
                <w:b w:val="0"/>
                <w:sz w:val="12"/>
              </w:rPr>
              <w:t>R$ 37.600,00</w:t>
            </w:r>
          </w:p>
        </w:tc>
      </w:tr>
      <w:tr>
        <w:tc>
          <w:tcPr>
            <w:tcW w:type="dxa" w:w="520"/>
            <w:tcMar>
              <w:top w:w="80" w:type="dxa"/>
              <w:bottom w:w="80" w:type="dxa"/>
              <w:start w:w="100" w:type="dxa"/>
              <w:end w:w="100" w:type="dxa"/>
            </w:tcMar>
            <w:vAlign w:val="top"/>
          </w:tcPr>
          <w:p>
            <w:pPr>
              <w:spacing w:after="0" w:line="240" w:lineRule="auto"/>
              <w:jc w:val="center"/>
            </w:pPr>
            <w:r/>
            <w:r>
              <w:rPr>
                <w:rFonts w:ascii="Arial" w:hAnsi="Arial"/>
                <w:b w:val="0"/>
                <w:sz w:val="12"/>
              </w:rPr>
              <w:t>2</w:t>
            </w:r>
          </w:p>
        </w:tc>
        <w:tc>
          <w:tcPr>
            <w:tcW w:type="dxa" w:w="580"/>
            <w:tcMar>
              <w:top w:w="80" w:type="dxa"/>
              <w:bottom w:w="80" w:type="dxa"/>
              <w:start w:w="100" w:type="dxa"/>
              <w:end w:w="100" w:type="dxa"/>
            </w:tcMar>
            <w:vAlign w:val="top"/>
          </w:tcPr>
          <w:p>
            <w:pPr>
              <w:spacing w:after="0" w:line="240" w:lineRule="auto"/>
              <w:jc w:val="center"/>
            </w:pPr>
            <w:r/>
            <w:r>
              <w:rPr>
                <w:rFonts w:ascii="Arial" w:hAnsi="Arial"/>
                <w:b w:val="0"/>
                <w:sz w:val="12"/>
              </w:rPr>
              <w:t>40</w:t>
            </w:r>
          </w:p>
        </w:tc>
        <w:tc>
          <w:tcPr>
            <w:tcW w:type="dxa" w:w="500"/>
            <w:tcMar>
              <w:top w:w="80" w:type="dxa"/>
              <w:bottom w:w="80" w:type="dxa"/>
              <w:start w:w="100" w:type="dxa"/>
              <w:end w:w="100" w:type="dxa"/>
            </w:tcMar>
            <w:vAlign w:val="top"/>
          </w:tcPr>
          <w:p>
            <w:pPr>
              <w:spacing w:after="0" w:line="240" w:lineRule="auto"/>
              <w:jc w:val="center"/>
            </w:pPr>
            <w:r/>
            <w:r>
              <w:rPr>
                <w:rFonts w:ascii="Arial" w:hAnsi="Arial"/>
                <w:b w:val="0"/>
                <w:sz w:val="12"/>
              </w:rPr>
              <w:t>UND</w:t>
            </w:r>
          </w:p>
        </w:tc>
        <w:tc>
          <w:tcPr>
            <w:tcW w:type="dxa" w:w="5200"/>
            <w:tcMar>
              <w:top w:w="80" w:type="dxa"/>
              <w:bottom w:w="80" w:type="dxa"/>
              <w:start w:w="100" w:type="dxa"/>
              <w:end w:w="100" w:type="dxa"/>
            </w:tcMar>
            <w:vAlign w:val="top"/>
          </w:tcPr>
          <w:p>
            <w:pPr>
              <w:spacing w:after="0" w:line="240" w:lineRule="auto"/>
              <w:jc w:val="left"/>
            </w:pPr>
            <w:r/>
            <w:r>
              <w:rPr>
                <w:rFonts w:ascii="Arial" w:hAnsi="Arial"/>
                <w:b w:val="0"/>
                <w:sz w:val="12"/>
              </w:rPr>
              <w:t>Microcateter de cobertura hidrofílica, com mandril de moldagem, haste distal flexível com dois marcadores radiodensos, compatí- vel com fio-guia 0.014’, de 150 cm de comprimento, pontas reta ou 450 ou 900</w:t>
            </w:r>
          </w:p>
        </w:tc>
        <w:tc>
          <w:tcPr>
            <w:tcW w:type="dxa" w:w="1200"/>
            <w:tcMar>
              <w:top w:w="80" w:type="dxa"/>
              <w:bottom w:w="80" w:type="dxa"/>
              <w:start w:w="100" w:type="dxa"/>
              <w:end w:w="100" w:type="dxa"/>
            </w:tcMar>
            <w:vAlign w:val="top"/>
          </w:tcPr>
          <w:p>
            <w:pPr>
              <w:spacing w:after="0" w:line="240" w:lineRule="auto"/>
              <w:jc w:val="center"/>
            </w:pPr>
            <w:r/>
            <w:r>
              <w:rPr>
                <w:rFonts w:ascii="Arial" w:hAnsi="Arial"/>
                <w:b w:val="0"/>
                <w:sz w:val="12"/>
              </w:rPr>
              <w:t>Goldflex</w:t>
            </w:r>
          </w:p>
        </w:tc>
        <w:tc>
          <w:tcPr>
            <w:tcW w:type="dxa" w:w="1350"/>
            <w:tcMar>
              <w:top w:w="80" w:type="dxa"/>
              <w:bottom w:w="80" w:type="dxa"/>
              <w:start w:w="100" w:type="dxa"/>
              <w:end w:w="100" w:type="dxa"/>
            </w:tcMar>
            <w:vAlign w:val="top"/>
          </w:tcPr>
          <w:p>
            <w:pPr>
              <w:spacing w:after="0" w:line="240" w:lineRule="auto"/>
              <w:jc w:val="center"/>
            </w:pPr>
            <w:r/>
            <w:r>
              <w:rPr>
                <w:rFonts w:ascii="Arial" w:hAnsi="Arial"/>
                <w:b w:val="0"/>
                <w:sz w:val="12"/>
              </w:rPr>
              <w:t>R$ 1.880,00</w:t>
            </w:r>
          </w:p>
        </w:tc>
        <w:tc>
          <w:tcPr>
            <w:tcW w:type="dxa" w:w="1530"/>
            <w:tcMar>
              <w:top w:w="80" w:type="dxa"/>
              <w:bottom w:w="80" w:type="dxa"/>
              <w:start w:w="100" w:type="dxa"/>
              <w:end w:w="100" w:type="dxa"/>
            </w:tcMar>
            <w:vAlign w:val="top"/>
          </w:tcPr>
          <w:p>
            <w:pPr>
              <w:spacing w:after="0" w:line="240" w:lineRule="auto"/>
              <w:jc w:val="center"/>
            </w:pPr>
            <w:r/>
            <w:r>
              <w:rPr>
                <w:rFonts w:ascii="Arial" w:hAnsi="Arial"/>
                <w:b w:val="0"/>
                <w:sz w:val="12"/>
              </w:rPr>
              <w:t>R$ 75.200,00</w:t>
            </w:r>
          </w:p>
        </w:tc>
      </w:tr>
      <w:tr>
        <w:tc>
          <w:tcPr>
            <w:tcW w:type="dxa" w:w="520"/>
            <w:tcMar>
              <w:top w:w="80" w:type="dxa"/>
              <w:bottom w:w="80" w:type="dxa"/>
              <w:start w:w="100" w:type="dxa"/>
              <w:end w:w="100" w:type="dxa"/>
            </w:tcMar>
            <w:vAlign w:val="top"/>
          </w:tcPr>
          <w:p>
            <w:pPr>
              <w:spacing w:after="0" w:line="240" w:lineRule="auto"/>
              <w:jc w:val="center"/>
            </w:pPr>
            <w:r/>
            <w:r>
              <w:rPr>
                <w:rFonts w:ascii="Arial" w:hAnsi="Arial"/>
                <w:b w:val="0"/>
                <w:sz w:val="12"/>
              </w:rPr>
              <w:t>3</w:t>
            </w:r>
          </w:p>
        </w:tc>
        <w:tc>
          <w:tcPr>
            <w:tcW w:type="dxa" w:w="580"/>
            <w:tcMar>
              <w:top w:w="80" w:type="dxa"/>
              <w:bottom w:w="80" w:type="dxa"/>
              <w:start w:w="100" w:type="dxa"/>
              <w:end w:w="100" w:type="dxa"/>
            </w:tcMar>
            <w:vAlign w:val="top"/>
          </w:tcPr>
          <w:p>
            <w:pPr>
              <w:spacing w:after="0" w:line="240" w:lineRule="auto"/>
              <w:jc w:val="center"/>
            </w:pPr>
            <w:r/>
            <w:r>
              <w:rPr>
                <w:rFonts w:ascii="Arial" w:hAnsi="Arial"/>
                <w:b w:val="0"/>
                <w:sz w:val="12"/>
              </w:rPr>
              <w:t>60</w:t>
            </w:r>
          </w:p>
        </w:tc>
        <w:tc>
          <w:tcPr>
            <w:tcW w:type="dxa" w:w="500"/>
            <w:tcMar>
              <w:top w:w="80" w:type="dxa"/>
              <w:bottom w:w="80" w:type="dxa"/>
              <w:start w:w="100" w:type="dxa"/>
              <w:end w:w="100" w:type="dxa"/>
            </w:tcMar>
            <w:vAlign w:val="top"/>
          </w:tcPr>
          <w:p>
            <w:pPr>
              <w:spacing w:after="0" w:line="240" w:lineRule="auto"/>
              <w:jc w:val="center"/>
            </w:pPr>
            <w:r/>
            <w:r>
              <w:rPr>
                <w:rFonts w:ascii="Arial" w:hAnsi="Arial"/>
                <w:b w:val="0"/>
                <w:sz w:val="12"/>
              </w:rPr>
              <w:t>UND</w:t>
            </w:r>
          </w:p>
        </w:tc>
        <w:tc>
          <w:tcPr>
            <w:tcW w:type="dxa" w:w="5200"/>
            <w:tcMar>
              <w:top w:w="80" w:type="dxa"/>
              <w:bottom w:w="80" w:type="dxa"/>
              <w:start w:w="100" w:type="dxa"/>
              <w:end w:w="100" w:type="dxa"/>
            </w:tcMar>
            <w:vAlign w:val="top"/>
          </w:tcPr>
          <w:p>
            <w:pPr>
              <w:spacing w:after="0" w:line="240" w:lineRule="auto"/>
              <w:jc w:val="left"/>
            </w:pPr>
            <w:r/>
            <w:r>
              <w:rPr>
                <w:rFonts w:ascii="Arial" w:hAnsi="Arial"/>
                <w:b w:val="0"/>
                <w:sz w:val="12"/>
              </w:rPr>
              <w:t>Microguia 0.014’, extremidade radiopaca e re- vestimento hidrofílico, no comprimento de 200-300 cm</w:t>
            </w:r>
          </w:p>
        </w:tc>
        <w:tc>
          <w:tcPr>
            <w:tcW w:type="dxa" w:w="1200"/>
            <w:tcMar>
              <w:top w:w="80" w:type="dxa"/>
              <w:bottom w:w="80" w:type="dxa"/>
              <w:start w:w="100" w:type="dxa"/>
              <w:end w:w="100" w:type="dxa"/>
            </w:tcMar>
            <w:vAlign w:val="top"/>
          </w:tcPr>
          <w:p>
            <w:pPr>
              <w:spacing w:after="0" w:line="240" w:lineRule="auto"/>
              <w:jc w:val="center"/>
            </w:pPr>
            <w:r/>
            <w:r>
              <w:rPr>
                <w:rFonts w:ascii="Arial" w:hAnsi="Arial"/>
                <w:b w:val="0"/>
                <w:sz w:val="12"/>
              </w:rPr>
              <w:t>Goldflex</w:t>
            </w:r>
          </w:p>
        </w:tc>
        <w:tc>
          <w:tcPr>
            <w:tcW w:type="dxa" w:w="1350"/>
            <w:tcMar>
              <w:top w:w="80" w:type="dxa"/>
              <w:bottom w:w="80" w:type="dxa"/>
              <w:start w:w="100" w:type="dxa"/>
              <w:end w:w="100" w:type="dxa"/>
            </w:tcMar>
            <w:vAlign w:val="top"/>
          </w:tcPr>
          <w:p>
            <w:pPr>
              <w:spacing w:after="0" w:line="240" w:lineRule="auto"/>
              <w:jc w:val="center"/>
            </w:pPr>
            <w:r/>
            <w:r>
              <w:rPr>
                <w:rFonts w:ascii="Arial" w:hAnsi="Arial"/>
                <w:b w:val="0"/>
                <w:sz w:val="12"/>
              </w:rPr>
              <w:t>R$ 643,90</w:t>
            </w:r>
          </w:p>
        </w:tc>
        <w:tc>
          <w:tcPr>
            <w:tcW w:type="dxa" w:w="1530"/>
            <w:tcMar>
              <w:top w:w="80" w:type="dxa"/>
              <w:bottom w:w="80" w:type="dxa"/>
              <w:start w:w="100" w:type="dxa"/>
              <w:end w:w="100" w:type="dxa"/>
            </w:tcMar>
            <w:vAlign w:val="top"/>
          </w:tcPr>
          <w:p>
            <w:pPr>
              <w:spacing w:after="0" w:line="240" w:lineRule="auto"/>
              <w:jc w:val="center"/>
            </w:pPr>
            <w:r/>
            <w:r>
              <w:rPr>
                <w:rFonts w:ascii="Arial" w:hAnsi="Arial"/>
                <w:b w:val="0"/>
                <w:sz w:val="12"/>
              </w:rPr>
              <w:t>R$ 38.634,00</w:t>
            </w:r>
          </w:p>
        </w:tc>
      </w:tr>
      <w:tr>
        <w:tc>
          <w:tcPr>
            <w:tcW w:type="dxa" w:w="520"/>
            <w:tcMar>
              <w:top w:w="80" w:type="dxa"/>
              <w:bottom w:w="80" w:type="dxa"/>
              <w:start w:w="100" w:type="dxa"/>
              <w:end w:w="100" w:type="dxa"/>
            </w:tcMar>
            <w:vAlign w:val="top"/>
          </w:tcPr>
          <w:p>
            <w:pPr>
              <w:spacing w:after="0" w:line="240" w:lineRule="auto"/>
              <w:jc w:val="center"/>
            </w:pPr>
            <w:r/>
            <w:r>
              <w:rPr>
                <w:rFonts w:ascii="Arial" w:hAnsi="Arial"/>
                <w:b w:val="0"/>
                <w:sz w:val="12"/>
              </w:rPr>
              <w:t>4</w:t>
            </w:r>
          </w:p>
        </w:tc>
        <w:tc>
          <w:tcPr>
            <w:tcW w:type="dxa" w:w="580"/>
            <w:tcMar>
              <w:top w:w="80" w:type="dxa"/>
              <w:bottom w:w="80" w:type="dxa"/>
              <w:start w:w="100" w:type="dxa"/>
              <w:end w:w="100" w:type="dxa"/>
            </w:tcMar>
            <w:vAlign w:val="top"/>
          </w:tcPr>
          <w:p>
            <w:pPr>
              <w:spacing w:after="0" w:line="240" w:lineRule="auto"/>
              <w:jc w:val="center"/>
            </w:pPr>
            <w:r/>
            <w:r>
              <w:rPr>
                <w:rFonts w:ascii="Arial" w:hAnsi="Arial"/>
                <w:b w:val="0"/>
                <w:sz w:val="12"/>
              </w:rPr>
              <w:t>20</w:t>
            </w:r>
          </w:p>
        </w:tc>
        <w:tc>
          <w:tcPr>
            <w:tcW w:type="dxa" w:w="500"/>
            <w:tcMar>
              <w:top w:w="80" w:type="dxa"/>
              <w:bottom w:w="80" w:type="dxa"/>
              <w:start w:w="100" w:type="dxa"/>
              <w:end w:w="100" w:type="dxa"/>
            </w:tcMar>
            <w:vAlign w:val="top"/>
          </w:tcPr>
          <w:p>
            <w:pPr>
              <w:spacing w:after="0" w:line="240" w:lineRule="auto"/>
              <w:jc w:val="center"/>
            </w:pPr>
            <w:r/>
            <w:r>
              <w:rPr>
                <w:rFonts w:ascii="Arial" w:hAnsi="Arial"/>
                <w:b w:val="0"/>
                <w:sz w:val="12"/>
              </w:rPr>
              <w:t>UND</w:t>
            </w:r>
          </w:p>
        </w:tc>
        <w:tc>
          <w:tcPr>
            <w:tcW w:type="dxa" w:w="5200"/>
            <w:tcMar>
              <w:top w:w="80" w:type="dxa"/>
              <w:bottom w:w="80" w:type="dxa"/>
              <w:start w:w="100" w:type="dxa"/>
              <w:end w:w="100" w:type="dxa"/>
            </w:tcMar>
            <w:vAlign w:val="top"/>
          </w:tcPr>
          <w:p>
            <w:pPr>
              <w:spacing w:after="0" w:line="240" w:lineRule="auto"/>
              <w:jc w:val="left"/>
            </w:pPr>
            <w:r/>
            <w:r>
              <w:rPr>
                <w:rFonts w:ascii="Arial" w:hAnsi="Arial"/>
                <w:b w:val="0"/>
                <w:sz w:val="12"/>
              </w:rPr>
              <w:t>Partícula embolizante – Microesfera cali- brada produzida em hidrogel, com controle de absorção. Apresentações de 100-300µm.</w:t>
            </w:r>
          </w:p>
        </w:tc>
        <w:tc>
          <w:tcPr>
            <w:tcW w:type="dxa" w:w="1200"/>
            <w:tcMar>
              <w:top w:w="80" w:type="dxa"/>
              <w:bottom w:w="80" w:type="dxa"/>
              <w:start w:w="100" w:type="dxa"/>
              <w:end w:w="100" w:type="dxa"/>
            </w:tcMar>
            <w:vAlign w:val="top"/>
          </w:tcPr>
          <w:p>
            <w:pPr>
              <w:spacing w:after="0" w:line="240" w:lineRule="auto"/>
              <w:jc w:val="center"/>
            </w:pPr>
            <w:r/>
            <w:r>
              <w:rPr>
                <w:rFonts w:ascii="Arial" w:hAnsi="Arial"/>
                <w:b w:val="0"/>
                <w:sz w:val="12"/>
              </w:rPr>
              <w:t>Goldflex</w:t>
            </w:r>
          </w:p>
        </w:tc>
        <w:tc>
          <w:tcPr>
            <w:tcW w:type="dxa" w:w="1350"/>
            <w:tcMar>
              <w:top w:w="80" w:type="dxa"/>
              <w:bottom w:w="80" w:type="dxa"/>
              <w:start w:w="100" w:type="dxa"/>
              <w:end w:w="100" w:type="dxa"/>
            </w:tcMar>
            <w:vAlign w:val="top"/>
          </w:tcPr>
          <w:p>
            <w:pPr>
              <w:spacing w:after="0" w:line="240" w:lineRule="auto"/>
              <w:jc w:val="center"/>
            </w:pPr>
            <w:r/>
            <w:r>
              <w:rPr>
                <w:rFonts w:ascii="Arial" w:hAnsi="Arial"/>
                <w:b w:val="0"/>
                <w:sz w:val="12"/>
              </w:rPr>
              <w:t>R$ 2.050,00</w:t>
            </w:r>
          </w:p>
        </w:tc>
        <w:tc>
          <w:tcPr>
            <w:tcW w:type="dxa" w:w="1530"/>
            <w:tcMar>
              <w:top w:w="80" w:type="dxa"/>
              <w:bottom w:w="80" w:type="dxa"/>
              <w:start w:w="100" w:type="dxa"/>
              <w:end w:w="100" w:type="dxa"/>
            </w:tcMar>
            <w:vAlign w:val="top"/>
          </w:tcPr>
          <w:p>
            <w:pPr>
              <w:spacing w:after="0" w:line="240" w:lineRule="auto"/>
              <w:jc w:val="center"/>
            </w:pPr>
            <w:r/>
            <w:r>
              <w:rPr>
                <w:rFonts w:ascii="Arial" w:hAnsi="Arial"/>
                <w:b w:val="0"/>
                <w:sz w:val="12"/>
              </w:rPr>
              <w:t>R$ 41.000,00</w:t>
            </w:r>
          </w:p>
        </w:tc>
      </w:tr>
      <w:tr>
        <w:tc>
          <w:tcPr>
            <w:tcW w:type="dxa" w:w="520"/>
            <w:tcMar>
              <w:top w:w="80" w:type="dxa"/>
              <w:bottom w:w="80" w:type="dxa"/>
              <w:start w:w="100" w:type="dxa"/>
              <w:end w:w="100" w:type="dxa"/>
            </w:tcMar>
            <w:vAlign w:val="top"/>
          </w:tcPr>
          <w:p>
            <w:pPr>
              <w:spacing w:after="0" w:line="240" w:lineRule="auto"/>
              <w:jc w:val="center"/>
            </w:pPr>
            <w:r/>
            <w:r>
              <w:rPr>
                <w:rFonts w:ascii="Arial" w:hAnsi="Arial"/>
                <w:b w:val="0"/>
                <w:sz w:val="12"/>
              </w:rPr>
              <w:t>5</w:t>
            </w:r>
          </w:p>
        </w:tc>
        <w:tc>
          <w:tcPr>
            <w:tcW w:type="dxa" w:w="580"/>
            <w:tcMar>
              <w:top w:w="80" w:type="dxa"/>
              <w:bottom w:w="80" w:type="dxa"/>
              <w:start w:w="100" w:type="dxa"/>
              <w:end w:w="100" w:type="dxa"/>
            </w:tcMar>
            <w:vAlign w:val="top"/>
          </w:tcPr>
          <w:p>
            <w:pPr>
              <w:spacing w:after="0" w:line="240" w:lineRule="auto"/>
              <w:jc w:val="center"/>
            </w:pPr>
            <w:r/>
            <w:r>
              <w:rPr>
                <w:rFonts w:ascii="Arial" w:hAnsi="Arial"/>
                <w:b w:val="0"/>
                <w:sz w:val="12"/>
              </w:rPr>
              <w:t>20</w:t>
            </w:r>
          </w:p>
        </w:tc>
        <w:tc>
          <w:tcPr>
            <w:tcW w:type="dxa" w:w="500"/>
            <w:tcMar>
              <w:top w:w="80" w:type="dxa"/>
              <w:bottom w:w="80" w:type="dxa"/>
              <w:start w:w="100" w:type="dxa"/>
              <w:end w:w="100" w:type="dxa"/>
            </w:tcMar>
            <w:vAlign w:val="top"/>
          </w:tcPr>
          <w:p>
            <w:pPr>
              <w:spacing w:after="0" w:line="240" w:lineRule="auto"/>
              <w:jc w:val="center"/>
            </w:pPr>
            <w:r/>
            <w:r>
              <w:rPr>
                <w:rFonts w:ascii="Arial" w:hAnsi="Arial"/>
                <w:b w:val="0"/>
                <w:sz w:val="12"/>
              </w:rPr>
              <w:t>UND</w:t>
            </w:r>
          </w:p>
        </w:tc>
        <w:tc>
          <w:tcPr>
            <w:tcW w:type="dxa" w:w="5200"/>
            <w:tcMar>
              <w:top w:w="80" w:type="dxa"/>
              <w:bottom w:w="80" w:type="dxa"/>
              <w:start w:w="100" w:type="dxa"/>
              <w:end w:w="100" w:type="dxa"/>
            </w:tcMar>
            <w:vAlign w:val="top"/>
          </w:tcPr>
          <w:p>
            <w:pPr>
              <w:spacing w:after="0" w:line="240" w:lineRule="auto"/>
              <w:jc w:val="left"/>
            </w:pPr>
            <w:r/>
            <w:r>
              <w:rPr>
                <w:rFonts w:ascii="Arial" w:hAnsi="Arial"/>
                <w:b w:val="0"/>
                <w:sz w:val="12"/>
              </w:rPr>
              <w:t>Partícula embolizante - Microesfera calibrada produzida em hidrogel. Apresentações de 300-500µm.</w:t>
            </w:r>
          </w:p>
        </w:tc>
        <w:tc>
          <w:tcPr>
            <w:tcW w:type="dxa" w:w="1200"/>
            <w:tcMar>
              <w:top w:w="80" w:type="dxa"/>
              <w:bottom w:w="80" w:type="dxa"/>
              <w:start w:w="100" w:type="dxa"/>
              <w:end w:w="100" w:type="dxa"/>
            </w:tcMar>
            <w:vAlign w:val="top"/>
          </w:tcPr>
          <w:p>
            <w:pPr>
              <w:spacing w:after="0" w:line="240" w:lineRule="auto"/>
              <w:jc w:val="center"/>
            </w:pPr>
            <w:r/>
            <w:r>
              <w:rPr>
                <w:rFonts w:ascii="Arial" w:hAnsi="Arial"/>
                <w:b w:val="0"/>
                <w:sz w:val="12"/>
              </w:rPr>
              <w:t>Goldflex</w:t>
            </w:r>
          </w:p>
        </w:tc>
        <w:tc>
          <w:tcPr>
            <w:tcW w:type="dxa" w:w="1350"/>
            <w:tcMar>
              <w:top w:w="80" w:type="dxa"/>
              <w:bottom w:w="80" w:type="dxa"/>
              <w:start w:w="100" w:type="dxa"/>
              <w:end w:w="100" w:type="dxa"/>
            </w:tcMar>
            <w:vAlign w:val="top"/>
          </w:tcPr>
          <w:p>
            <w:pPr>
              <w:spacing w:after="0" w:line="240" w:lineRule="auto"/>
              <w:jc w:val="center"/>
            </w:pPr>
            <w:r/>
            <w:r>
              <w:rPr>
                <w:rFonts w:ascii="Arial" w:hAnsi="Arial"/>
                <w:b w:val="0"/>
                <w:sz w:val="12"/>
              </w:rPr>
              <w:t>R$ 2.460,00</w:t>
            </w:r>
          </w:p>
        </w:tc>
        <w:tc>
          <w:tcPr>
            <w:tcW w:type="dxa" w:w="1530"/>
            <w:tcMar>
              <w:top w:w="80" w:type="dxa"/>
              <w:bottom w:w="80" w:type="dxa"/>
              <w:start w:w="100" w:type="dxa"/>
              <w:end w:w="100" w:type="dxa"/>
            </w:tcMar>
            <w:vAlign w:val="top"/>
          </w:tcPr>
          <w:p>
            <w:pPr>
              <w:spacing w:after="0" w:line="240" w:lineRule="auto"/>
              <w:jc w:val="center"/>
            </w:pPr>
            <w:r/>
            <w:r>
              <w:rPr>
                <w:rFonts w:ascii="Arial" w:hAnsi="Arial"/>
                <w:b w:val="0"/>
                <w:sz w:val="12"/>
              </w:rPr>
              <w:t>R$ 49.200,00</w:t>
            </w:r>
          </w:p>
        </w:tc>
      </w:tr>
      <w:tr>
        <w:tc>
          <w:tcPr>
            <w:tcW w:type="dxa" w:w="520"/>
            <w:tcMar>
              <w:top w:w="80" w:type="dxa"/>
              <w:bottom w:w="80" w:type="dxa"/>
              <w:start w:w="100" w:type="dxa"/>
              <w:end w:w="100" w:type="dxa"/>
            </w:tcMar>
            <w:vAlign w:val="top"/>
          </w:tcPr>
          <w:p>
            <w:pPr>
              <w:spacing w:after="0" w:line="240" w:lineRule="auto"/>
              <w:jc w:val="center"/>
            </w:pPr>
            <w:r/>
            <w:r>
              <w:rPr>
                <w:rFonts w:ascii="Arial" w:hAnsi="Arial"/>
                <w:b w:val="0"/>
                <w:sz w:val="12"/>
              </w:rPr>
              <w:t>6</w:t>
            </w:r>
          </w:p>
        </w:tc>
        <w:tc>
          <w:tcPr>
            <w:tcW w:type="dxa" w:w="580"/>
            <w:tcMar>
              <w:top w:w="80" w:type="dxa"/>
              <w:bottom w:w="80" w:type="dxa"/>
              <w:start w:w="100" w:type="dxa"/>
              <w:end w:w="100" w:type="dxa"/>
            </w:tcMar>
            <w:vAlign w:val="top"/>
          </w:tcPr>
          <w:p>
            <w:pPr>
              <w:spacing w:after="0" w:line="240" w:lineRule="auto"/>
              <w:jc w:val="center"/>
            </w:pPr>
            <w:r/>
            <w:r>
              <w:rPr>
                <w:rFonts w:ascii="Arial" w:hAnsi="Arial"/>
                <w:b w:val="0"/>
                <w:sz w:val="12"/>
              </w:rPr>
              <w:t>15</w:t>
            </w:r>
          </w:p>
        </w:tc>
        <w:tc>
          <w:tcPr>
            <w:tcW w:type="dxa" w:w="500"/>
            <w:tcMar>
              <w:top w:w="80" w:type="dxa"/>
              <w:bottom w:w="80" w:type="dxa"/>
              <w:start w:w="100" w:type="dxa"/>
              <w:end w:w="100" w:type="dxa"/>
            </w:tcMar>
            <w:vAlign w:val="top"/>
          </w:tcPr>
          <w:p>
            <w:pPr>
              <w:spacing w:after="0" w:line="240" w:lineRule="auto"/>
              <w:jc w:val="center"/>
            </w:pPr>
            <w:r/>
            <w:r>
              <w:rPr>
                <w:rFonts w:ascii="Arial" w:hAnsi="Arial"/>
                <w:b w:val="0"/>
                <w:sz w:val="12"/>
              </w:rPr>
              <w:t>UND</w:t>
            </w:r>
          </w:p>
        </w:tc>
        <w:tc>
          <w:tcPr>
            <w:tcW w:type="dxa" w:w="5200"/>
            <w:tcMar>
              <w:top w:w="80" w:type="dxa"/>
              <w:bottom w:w="80" w:type="dxa"/>
              <w:start w:w="100" w:type="dxa"/>
              <w:end w:w="100" w:type="dxa"/>
            </w:tcMar>
            <w:vAlign w:val="top"/>
          </w:tcPr>
          <w:p>
            <w:pPr>
              <w:spacing w:after="0" w:line="240" w:lineRule="auto"/>
              <w:jc w:val="left"/>
            </w:pPr>
            <w:r/>
            <w:r>
              <w:rPr>
                <w:rFonts w:ascii="Arial" w:hAnsi="Arial"/>
                <w:b w:val="0"/>
                <w:sz w:val="12"/>
              </w:rPr>
              <w:t>Partícula embolizante – Microesfera cali- brada produzida em hidrogel. Apresentações de 500-700µm.</w:t>
            </w:r>
          </w:p>
        </w:tc>
        <w:tc>
          <w:tcPr>
            <w:tcW w:type="dxa" w:w="1200"/>
            <w:tcMar>
              <w:top w:w="80" w:type="dxa"/>
              <w:bottom w:w="80" w:type="dxa"/>
              <w:start w:w="100" w:type="dxa"/>
              <w:end w:w="100" w:type="dxa"/>
            </w:tcMar>
            <w:vAlign w:val="top"/>
          </w:tcPr>
          <w:p>
            <w:pPr>
              <w:spacing w:after="0" w:line="240" w:lineRule="auto"/>
              <w:jc w:val="center"/>
            </w:pPr>
            <w:r/>
            <w:r>
              <w:rPr>
                <w:rFonts w:ascii="Arial" w:hAnsi="Arial"/>
                <w:b w:val="0"/>
                <w:sz w:val="12"/>
              </w:rPr>
              <w:t>Goldflex</w:t>
            </w:r>
          </w:p>
        </w:tc>
        <w:tc>
          <w:tcPr>
            <w:tcW w:type="dxa" w:w="1350"/>
            <w:tcMar>
              <w:top w:w="80" w:type="dxa"/>
              <w:bottom w:w="80" w:type="dxa"/>
              <w:start w:w="100" w:type="dxa"/>
              <w:end w:w="100" w:type="dxa"/>
            </w:tcMar>
            <w:vAlign w:val="top"/>
          </w:tcPr>
          <w:p>
            <w:pPr>
              <w:spacing w:after="0" w:line="240" w:lineRule="auto"/>
              <w:jc w:val="center"/>
            </w:pPr>
            <w:r/>
            <w:r>
              <w:rPr>
                <w:rFonts w:ascii="Arial" w:hAnsi="Arial"/>
                <w:b w:val="0"/>
                <w:sz w:val="12"/>
              </w:rPr>
              <w:t>R$ 2.050,00</w:t>
            </w:r>
          </w:p>
        </w:tc>
        <w:tc>
          <w:tcPr>
            <w:tcW w:type="dxa" w:w="1530"/>
            <w:tcMar>
              <w:top w:w="80" w:type="dxa"/>
              <w:bottom w:w="80" w:type="dxa"/>
              <w:start w:w="100" w:type="dxa"/>
              <w:end w:w="100" w:type="dxa"/>
            </w:tcMar>
            <w:vAlign w:val="top"/>
          </w:tcPr>
          <w:p>
            <w:pPr>
              <w:spacing w:after="0" w:line="240" w:lineRule="auto"/>
              <w:jc w:val="center"/>
            </w:pPr>
            <w:r/>
            <w:r>
              <w:rPr>
                <w:rFonts w:ascii="Arial" w:hAnsi="Arial"/>
                <w:b w:val="0"/>
                <w:sz w:val="12"/>
              </w:rPr>
              <w:t>R$ 30.750,00</w:t>
            </w:r>
          </w:p>
        </w:tc>
      </w:tr>
      <w:tr>
        <w:tc>
          <w:tcPr>
            <w:tcW w:type="dxa" w:w="520"/>
            <w:tcMar>
              <w:top w:w="80" w:type="dxa"/>
              <w:bottom w:w="80" w:type="dxa"/>
              <w:start w:w="100" w:type="dxa"/>
              <w:end w:w="100" w:type="dxa"/>
            </w:tcMar>
            <w:vAlign w:val="top"/>
          </w:tcPr>
          <w:p>
            <w:pPr>
              <w:spacing w:after="0" w:line="240" w:lineRule="auto"/>
              <w:jc w:val="center"/>
            </w:pPr>
            <w:r/>
            <w:r>
              <w:rPr>
                <w:rFonts w:ascii="Arial" w:hAnsi="Arial"/>
                <w:b w:val="0"/>
                <w:sz w:val="12"/>
              </w:rPr>
              <w:t>7</w:t>
            </w:r>
          </w:p>
        </w:tc>
        <w:tc>
          <w:tcPr>
            <w:tcW w:type="dxa" w:w="580"/>
            <w:tcMar>
              <w:top w:w="80" w:type="dxa"/>
              <w:bottom w:w="80" w:type="dxa"/>
              <w:start w:w="100" w:type="dxa"/>
              <w:end w:w="100" w:type="dxa"/>
            </w:tcMar>
            <w:vAlign w:val="top"/>
          </w:tcPr>
          <w:p>
            <w:pPr>
              <w:spacing w:after="0" w:line="240" w:lineRule="auto"/>
              <w:jc w:val="center"/>
            </w:pPr>
            <w:r/>
            <w:r>
              <w:rPr>
                <w:rFonts w:ascii="Arial" w:hAnsi="Arial"/>
                <w:b w:val="0"/>
                <w:sz w:val="12"/>
              </w:rPr>
              <w:t>20</w:t>
            </w:r>
          </w:p>
        </w:tc>
        <w:tc>
          <w:tcPr>
            <w:tcW w:type="dxa" w:w="500"/>
            <w:tcMar>
              <w:top w:w="80" w:type="dxa"/>
              <w:bottom w:w="80" w:type="dxa"/>
              <w:start w:w="100" w:type="dxa"/>
              <w:end w:w="100" w:type="dxa"/>
            </w:tcMar>
            <w:vAlign w:val="top"/>
          </w:tcPr>
          <w:p>
            <w:pPr>
              <w:spacing w:after="0" w:line="240" w:lineRule="auto"/>
              <w:jc w:val="center"/>
            </w:pPr>
            <w:r/>
            <w:r>
              <w:rPr>
                <w:rFonts w:ascii="Arial" w:hAnsi="Arial"/>
                <w:b w:val="0"/>
                <w:sz w:val="12"/>
              </w:rPr>
              <w:t>UND</w:t>
            </w:r>
          </w:p>
        </w:tc>
        <w:tc>
          <w:tcPr>
            <w:tcW w:type="dxa" w:w="5200"/>
            <w:tcMar>
              <w:top w:w="80" w:type="dxa"/>
              <w:bottom w:w="80" w:type="dxa"/>
              <w:start w:w="100" w:type="dxa"/>
              <w:end w:w="100" w:type="dxa"/>
            </w:tcMar>
            <w:vAlign w:val="top"/>
          </w:tcPr>
          <w:p>
            <w:pPr>
              <w:spacing w:after="0" w:line="240" w:lineRule="auto"/>
              <w:jc w:val="left"/>
            </w:pPr>
            <w:r/>
            <w:r>
              <w:rPr>
                <w:rFonts w:ascii="Arial" w:hAnsi="Arial"/>
                <w:b w:val="0"/>
                <w:sz w:val="12"/>
              </w:rPr>
              <w:t>Partícula embolizante – Microesfera cali- brada produzida em hidrogel, hidrofílica, não reabsorvível, pré envasadas em seringas de 20ml. Apresentações de 100-300µm.</w:t>
            </w:r>
          </w:p>
        </w:tc>
        <w:tc>
          <w:tcPr>
            <w:tcW w:type="dxa" w:w="1200"/>
            <w:tcMar>
              <w:top w:w="80" w:type="dxa"/>
              <w:bottom w:w="80" w:type="dxa"/>
              <w:start w:w="100" w:type="dxa"/>
              <w:end w:w="100" w:type="dxa"/>
            </w:tcMar>
            <w:vAlign w:val="top"/>
          </w:tcPr>
          <w:p>
            <w:pPr>
              <w:spacing w:after="0" w:line="240" w:lineRule="auto"/>
              <w:jc w:val="center"/>
            </w:pPr>
            <w:r/>
            <w:r>
              <w:rPr>
                <w:rFonts w:ascii="Arial" w:hAnsi="Arial"/>
                <w:b w:val="0"/>
                <w:sz w:val="12"/>
              </w:rPr>
              <w:t>Goldflex</w:t>
            </w:r>
          </w:p>
        </w:tc>
        <w:tc>
          <w:tcPr>
            <w:tcW w:type="dxa" w:w="1350"/>
            <w:tcMar>
              <w:top w:w="80" w:type="dxa"/>
              <w:bottom w:w="80" w:type="dxa"/>
              <w:start w:w="100" w:type="dxa"/>
              <w:end w:w="100" w:type="dxa"/>
            </w:tcMar>
            <w:vAlign w:val="top"/>
          </w:tcPr>
          <w:p>
            <w:pPr>
              <w:spacing w:after="0" w:line="240" w:lineRule="auto"/>
              <w:jc w:val="center"/>
            </w:pPr>
            <w:r/>
            <w:r>
              <w:rPr>
                <w:rFonts w:ascii="Arial" w:hAnsi="Arial"/>
                <w:b w:val="0"/>
                <w:sz w:val="12"/>
              </w:rPr>
              <w:t>R$ 2.200,00</w:t>
            </w:r>
          </w:p>
        </w:tc>
        <w:tc>
          <w:tcPr>
            <w:tcW w:type="dxa" w:w="1530"/>
            <w:tcMar>
              <w:top w:w="80" w:type="dxa"/>
              <w:bottom w:w="80" w:type="dxa"/>
              <w:start w:w="100" w:type="dxa"/>
              <w:end w:w="100" w:type="dxa"/>
            </w:tcMar>
            <w:vAlign w:val="top"/>
          </w:tcPr>
          <w:p>
            <w:pPr>
              <w:spacing w:after="0" w:line="240" w:lineRule="auto"/>
              <w:jc w:val="center"/>
            </w:pPr>
            <w:r/>
            <w:r>
              <w:rPr>
                <w:rFonts w:ascii="Arial" w:hAnsi="Arial"/>
                <w:b w:val="0"/>
                <w:sz w:val="12"/>
              </w:rPr>
              <w:t>R$ 44.000,00</w:t>
            </w:r>
          </w:p>
        </w:tc>
      </w:tr>
      <w:tr>
        <w:tc>
          <w:tcPr>
            <w:tcW w:type="dxa" w:w="520"/>
            <w:tcMar>
              <w:top w:w="80" w:type="dxa"/>
              <w:bottom w:w="80" w:type="dxa"/>
              <w:start w:w="100" w:type="dxa"/>
              <w:end w:w="100" w:type="dxa"/>
            </w:tcMar>
            <w:vAlign w:val="top"/>
          </w:tcPr>
          <w:p>
            <w:pPr>
              <w:spacing w:after="0" w:line="240" w:lineRule="auto"/>
              <w:jc w:val="center"/>
            </w:pPr>
            <w:r/>
            <w:r>
              <w:rPr>
                <w:rFonts w:ascii="Arial" w:hAnsi="Arial"/>
                <w:b w:val="0"/>
                <w:sz w:val="12"/>
              </w:rPr>
              <w:t>8</w:t>
            </w:r>
          </w:p>
        </w:tc>
        <w:tc>
          <w:tcPr>
            <w:tcW w:type="dxa" w:w="580"/>
            <w:tcMar>
              <w:top w:w="80" w:type="dxa"/>
              <w:bottom w:w="80" w:type="dxa"/>
              <w:start w:w="100" w:type="dxa"/>
              <w:end w:w="100" w:type="dxa"/>
            </w:tcMar>
            <w:vAlign w:val="top"/>
          </w:tcPr>
          <w:p>
            <w:pPr>
              <w:spacing w:after="0" w:line="240" w:lineRule="auto"/>
              <w:jc w:val="center"/>
            </w:pPr>
            <w:r/>
            <w:r>
              <w:rPr>
                <w:rFonts w:ascii="Arial" w:hAnsi="Arial"/>
                <w:b w:val="0"/>
                <w:sz w:val="12"/>
              </w:rPr>
              <w:t>15</w:t>
            </w:r>
          </w:p>
        </w:tc>
        <w:tc>
          <w:tcPr>
            <w:tcW w:type="dxa" w:w="500"/>
            <w:tcMar>
              <w:top w:w="80" w:type="dxa"/>
              <w:bottom w:w="80" w:type="dxa"/>
              <w:start w:w="100" w:type="dxa"/>
              <w:end w:w="100" w:type="dxa"/>
            </w:tcMar>
            <w:vAlign w:val="top"/>
          </w:tcPr>
          <w:p>
            <w:pPr>
              <w:spacing w:after="0" w:line="240" w:lineRule="auto"/>
              <w:jc w:val="center"/>
            </w:pPr>
            <w:r/>
            <w:r>
              <w:rPr>
                <w:rFonts w:ascii="Arial" w:hAnsi="Arial"/>
                <w:b w:val="0"/>
                <w:sz w:val="12"/>
              </w:rPr>
              <w:t>UND</w:t>
            </w:r>
          </w:p>
        </w:tc>
        <w:tc>
          <w:tcPr>
            <w:tcW w:type="dxa" w:w="5200"/>
            <w:tcMar>
              <w:top w:w="80" w:type="dxa"/>
              <w:bottom w:w="80" w:type="dxa"/>
              <w:start w:w="100" w:type="dxa"/>
              <w:end w:w="100" w:type="dxa"/>
            </w:tcMar>
            <w:vAlign w:val="top"/>
          </w:tcPr>
          <w:p>
            <w:pPr>
              <w:spacing w:after="0" w:line="240" w:lineRule="auto"/>
              <w:jc w:val="left"/>
            </w:pPr>
            <w:r/>
            <w:r>
              <w:rPr>
                <w:rFonts w:ascii="Arial" w:hAnsi="Arial"/>
                <w:b w:val="0"/>
                <w:sz w:val="12"/>
              </w:rPr>
              <w:t>Partícula embolizante – Microesfera cali- brada produzida em hidrogel, hidrofílica, não GOVERNO DO ESTADO DO PARÁ FUNDAÇÃO HOSPITAL DE CLINICAS GASPAR VIANNA ASSESSORIA JURÍDICA Formulário TERMO DE REFERÊNCIA Última Revisão: 18/03/2024</w:t>
            </w:r>
          </w:p>
        </w:tc>
        <w:tc>
          <w:tcPr>
            <w:tcW w:type="dxa" w:w="1200"/>
            <w:tcMar>
              <w:top w:w="80" w:type="dxa"/>
              <w:bottom w:w="80" w:type="dxa"/>
              <w:start w:w="100" w:type="dxa"/>
              <w:end w:w="100" w:type="dxa"/>
            </w:tcMar>
            <w:vAlign w:val="top"/>
          </w:tcPr>
          <w:p>
            <w:pPr>
              <w:spacing w:after="0" w:line="240" w:lineRule="auto"/>
              <w:jc w:val="center"/>
            </w:pPr>
            <w:r/>
            <w:r>
              <w:rPr>
                <w:rFonts w:ascii="Arial" w:hAnsi="Arial"/>
                <w:b w:val="0"/>
                <w:sz w:val="12"/>
              </w:rPr>
              <w:t>Goldflex</w:t>
            </w:r>
          </w:p>
        </w:tc>
        <w:tc>
          <w:tcPr>
            <w:tcW w:type="dxa" w:w="1350"/>
            <w:tcMar>
              <w:top w:w="80" w:type="dxa"/>
              <w:bottom w:w="80" w:type="dxa"/>
              <w:start w:w="100" w:type="dxa"/>
              <w:end w:w="100" w:type="dxa"/>
            </w:tcMar>
            <w:vAlign w:val="top"/>
          </w:tcPr>
          <w:p>
            <w:pPr>
              <w:spacing w:after="0" w:line="240" w:lineRule="auto"/>
              <w:jc w:val="center"/>
            </w:pPr>
            <w:r/>
            <w:r>
              <w:rPr>
                <w:rFonts w:ascii="Arial" w:hAnsi="Arial"/>
                <w:b w:val="0"/>
                <w:sz w:val="12"/>
              </w:rPr>
              <w:t>R$ 2.200,00</w:t>
            </w:r>
          </w:p>
        </w:tc>
        <w:tc>
          <w:tcPr>
            <w:tcW w:type="dxa" w:w="1530"/>
            <w:tcMar>
              <w:top w:w="80" w:type="dxa"/>
              <w:bottom w:w="80" w:type="dxa"/>
              <w:start w:w="100" w:type="dxa"/>
              <w:end w:w="100" w:type="dxa"/>
            </w:tcMar>
            <w:vAlign w:val="top"/>
          </w:tcPr>
          <w:p>
            <w:pPr>
              <w:spacing w:after="0" w:line="240" w:lineRule="auto"/>
              <w:jc w:val="center"/>
            </w:pPr>
            <w:r/>
            <w:r>
              <w:rPr>
                <w:rFonts w:ascii="Arial" w:hAnsi="Arial"/>
                <w:b w:val="0"/>
                <w:sz w:val="12"/>
              </w:rPr>
              <w:t>R$ 33.000,00</w:t>
            </w:r>
          </w:p>
        </w:tc>
      </w:tr>
      <w:tr>
        <w:tc>
          <w:tcPr>
            <w:tcW w:type="dxa" w:w="520"/>
            <w:tcMar>
              <w:top w:w="80" w:type="dxa"/>
              <w:bottom w:w="80" w:type="dxa"/>
              <w:start w:w="100" w:type="dxa"/>
              <w:end w:w="100" w:type="dxa"/>
            </w:tcMar>
            <w:vAlign w:val="top"/>
          </w:tcPr>
          <w:p>
            <w:pPr>
              <w:spacing w:after="0" w:line="240" w:lineRule="auto"/>
              <w:jc w:val="center"/>
            </w:pPr>
            <w:r/>
            <w:r>
              <w:rPr>
                <w:rFonts w:ascii="Arial" w:hAnsi="Arial"/>
                <w:b w:val="0"/>
                <w:sz w:val="12"/>
              </w:rPr>
              <w:t>9</w:t>
            </w:r>
          </w:p>
        </w:tc>
        <w:tc>
          <w:tcPr>
            <w:tcW w:type="dxa" w:w="580"/>
            <w:tcMar>
              <w:top w:w="80" w:type="dxa"/>
              <w:bottom w:w="80" w:type="dxa"/>
              <w:start w:w="100" w:type="dxa"/>
              <w:end w:w="100" w:type="dxa"/>
            </w:tcMar>
            <w:vAlign w:val="top"/>
          </w:tcPr>
          <w:p>
            <w:pPr>
              <w:spacing w:after="0" w:line="240" w:lineRule="auto"/>
              <w:jc w:val="center"/>
            </w:pPr>
            <w:r/>
            <w:r>
              <w:rPr>
                <w:rFonts w:ascii="Arial" w:hAnsi="Arial"/>
                <w:b w:val="0"/>
                <w:sz w:val="12"/>
              </w:rPr>
              <w:t>R$ 28.200,00</w:t>
            </w:r>
          </w:p>
        </w:tc>
        <w:tc>
          <w:tcPr>
            <w:tcW w:type="dxa" w:w="500"/>
            <w:tcMar>
              <w:top w:w="80" w:type="dxa"/>
              <w:bottom w:w="80" w:type="dxa"/>
              <w:start w:w="100" w:type="dxa"/>
              <w:end w:w="100" w:type="dxa"/>
            </w:tcMar>
            <w:vAlign w:val="top"/>
          </w:tcPr>
          <w:p>
            <w:pPr>
              <w:spacing w:after="0" w:line="240" w:lineRule="auto"/>
              <w:jc w:val="center"/>
            </w:pPr>
            <w:r/>
            <w:r>
              <w:rPr>
                <w:rFonts w:ascii="Arial" w:hAnsi="Arial"/>
                <w:b w:val="0"/>
                <w:sz w:val="12"/>
              </w:rPr>
              <w:t>UND</w:t>
            </w:r>
          </w:p>
        </w:tc>
        <w:tc>
          <w:tcPr>
            <w:tcW w:type="dxa" w:w="5200"/>
            <w:tcMar>
              <w:top w:w="80" w:type="dxa"/>
              <w:bottom w:w="80" w:type="dxa"/>
              <w:start w:w="100" w:type="dxa"/>
              <w:end w:w="100" w:type="dxa"/>
            </w:tcMar>
            <w:vAlign w:val="top"/>
          </w:tcPr>
          <w:p>
            <w:pPr>
              <w:spacing w:after="0" w:line="240" w:lineRule="auto"/>
              <w:jc w:val="left"/>
            </w:pPr>
            <w:r/>
            <w:r>
              <w:rPr>
                <w:rFonts w:ascii="Arial" w:hAnsi="Arial"/>
                <w:b w:val="0"/>
                <w:sz w:val="12"/>
              </w:rPr>
              <w:t>Partícula embolizante – Microesfera cali- brada produzida em hidrogel, hidrofílica, não reabsorvível, pré- envasadas em seringas de 20ml. Apresentações de 500-700µm.</w:t>
            </w:r>
          </w:p>
        </w:tc>
        <w:tc>
          <w:tcPr>
            <w:tcW w:type="dxa" w:w="1200"/>
            <w:tcMar>
              <w:top w:w="80" w:type="dxa"/>
              <w:bottom w:w="80" w:type="dxa"/>
              <w:start w:w="100" w:type="dxa"/>
              <w:end w:w="100" w:type="dxa"/>
            </w:tcMar>
            <w:vAlign w:val="top"/>
          </w:tcPr>
          <w:p>
            <w:pPr>
              <w:spacing w:after="0" w:line="240" w:lineRule="auto"/>
              <w:jc w:val="center"/>
            </w:pPr>
            <w:r/>
            <w:r>
              <w:rPr>
                <w:rFonts w:ascii="Arial" w:hAnsi="Arial"/>
                <w:b w:val="0"/>
                <w:sz w:val="12"/>
              </w:rPr>
              <w:t>Goldflex</w:t>
            </w:r>
          </w:p>
        </w:tc>
        <w:tc>
          <w:tcPr>
            <w:tcW w:type="dxa" w:w="1350"/>
            <w:tcMar>
              <w:top w:w="80" w:type="dxa"/>
              <w:bottom w:w="80" w:type="dxa"/>
              <w:start w:w="100" w:type="dxa"/>
              <w:end w:w="100" w:type="dxa"/>
            </w:tcMar>
            <w:vAlign w:val="top"/>
          </w:tcPr>
          <w:p>
            <w:pPr>
              <w:spacing w:after="0" w:line="240" w:lineRule="auto"/>
              <w:jc w:val="center"/>
            </w:pPr>
            <w:r/>
            <w:r>
              <w:rPr>
                <w:rFonts w:ascii="Arial" w:hAnsi="Arial"/>
                <w:b w:val="0"/>
                <w:sz w:val="12"/>
              </w:rPr>
              <w:t>R$ 1.880,00</w:t>
            </w:r>
          </w:p>
        </w:tc>
        <w:tc>
          <w:tcPr>
            <w:tcW w:type="dxa" w:w="1530"/>
            <w:tcMar>
              <w:top w:w="80" w:type="dxa"/>
              <w:bottom w:w="80" w:type="dxa"/>
              <w:start w:w="100" w:type="dxa"/>
              <w:end w:w="100" w:type="dxa"/>
            </w:tcMar>
            <w:vAlign w:val="top"/>
          </w:tcPr>
          <w:p>
            <w:pPr>
              <w:spacing w:after="0" w:line="240" w:lineRule="auto"/>
              <w:jc w:val="center"/>
            </w:pPr>
            <w:r/>
            <w:r>
              <w:rPr>
                <w:rFonts w:ascii="Arial" w:hAnsi="Arial"/>
                <w:b w:val="0"/>
                <w:sz w:val="12"/>
              </w:rPr>
              <w:t>R$ 53.016.000,00</w:t>
            </w:r>
          </w:p>
        </w:tc>
      </w:tr>
      <w:tr>
        <w:tc>
          <w:tcPr>
            <w:tcW w:type="dxa" w:w="520"/>
            <w:tcMar>
              <w:top w:w="80" w:type="dxa"/>
              <w:bottom w:w="80" w:type="dxa"/>
              <w:start w:w="100" w:type="dxa"/>
              <w:end w:w="100" w:type="dxa"/>
            </w:tcMar>
            <w:vAlign w:val="top"/>
          </w:tcPr>
          <w:p>
            <w:pPr>
              <w:spacing w:after="0" w:line="240" w:lineRule="auto"/>
              <w:jc w:val="center"/>
            </w:pPr>
            <w:r/>
            <w:r>
              <w:rPr>
                <w:rFonts w:ascii="Arial" w:hAnsi="Arial"/>
                <w:b w:val="0"/>
                <w:sz w:val="12"/>
              </w:rPr>
              <w:t>10</w:t>
            </w:r>
          </w:p>
        </w:tc>
        <w:tc>
          <w:tcPr>
            <w:tcW w:type="dxa" w:w="580"/>
            <w:tcMar>
              <w:top w:w="80" w:type="dxa"/>
              <w:bottom w:w="80" w:type="dxa"/>
              <w:start w:w="100" w:type="dxa"/>
              <w:end w:w="100" w:type="dxa"/>
            </w:tcMar>
            <w:vAlign w:val="top"/>
          </w:tcPr>
          <w:p>
            <w:pPr>
              <w:spacing w:after="0" w:line="240" w:lineRule="auto"/>
              <w:jc w:val="center"/>
            </w:pPr>
            <w:r/>
            <w:r>
              <w:rPr>
                <w:rFonts w:ascii="Arial" w:hAnsi="Arial"/>
                <w:b w:val="0"/>
                <w:sz w:val="12"/>
              </w:rPr>
              <w:t>R$ 15.683,85</w:t>
            </w:r>
          </w:p>
        </w:tc>
        <w:tc>
          <w:tcPr>
            <w:tcW w:type="dxa" w:w="500"/>
            <w:tcMar>
              <w:top w:w="80" w:type="dxa"/>
              <w:bottom w:w="80" w:type="dxa"/>
              <w:start w:w="100" w:type="dxa"/>
              <w:end w:w="100" w:type="dxa"/>
            </w:tcMar>
            <w:vAlign w:val="top"/>
          </w:tcPr>
          <w:p>
            <w:pPr>
              <w:spacing w:after="0" w:line="240" w:lineRule="auto"/>
              <w:jc w:val="center"/>
            </w:pPr>
            <w:r/>
            <w:r>
              <w:rPr>
                <w:rFonts w:ascii="Arial" w:hAnsi="Arial"/>
                <w:b w:val="0"/>
                <w:sz w:val="12"/>
              </w:rPr>
              <w:t>UND</w:t>
            </w:r>
          </w:p>
        </w:tc>
        <w:tc>
          <w:tcPr>
            <w:tcW w:type="dxa" w:w="5200"/>
            <w:tcMar>
              <w:top w:w="80" w:type="dxa"/>
              <w:bottom w:w="80" w:type="dxa"/>
              <w:start w:w="100" w:type="dxa"/>
              <w:end w:w="100" w:type="dxa"/>
            </w:tcMar>
            <w:vAlign w:val="top"/>
          </w:tcPr>
          <w:p>
            <w:pPr>
              <w:spacing w:after="0" w:line="240" w:lineRule="auto"/>
              <w:jc w:val="left"/>
            </w:pPr>
            <w:r/>
            <w:r>
              <w:rPr>
                <w:rFonts w:ascii="Arial" w:hAnsi="Arial"/>
                <w:b w:val="0"/>
                <w:sz w:val="12"/>
              </w:rPr>
              <w:t>Coils embolizante – Molas de platina para embolização para procedimentos de emboli- zação arterial ou venosa de vasos pequenos e com alto fluxo,com comprimento entre 0,5 e 6cm e diâmetros entre 0,2 e 1cm. O vence- dor terá que fornecer o Dispositivo ou Sistema de liberação controlada mecânico de mola.</w:t>
            </w:r>
          </w:p>
        </w:tc>
        <w:tc>
          <w:tcPr>
            <w:tcW w:type="dxa" w:w="1200"/>
            <w:tcMar>
              <w:top w:w="80" w:type="dxa"/>
              <w:bottom w:w="80" w:type="dxa"/>
              <w:start w:w="100" w:type="dxa"/>
              <w:end w:w="100" w:type="dxa"/>
            </w:tcMar>
            <w:vAlign w:val="top"/>
          </w:tcPr>
          <w:p>
            <w:pPr>
              <w:spacing w:after="0" w:line="240" w:lineRule="auto"/>
              <w:jc w:val="center"/>
            </w:pPr>
            <w:r/>
            <w:r>
              <w:rPr>
                <w:rFonts w:ascii="Arial" w:hAnsi="Arial"/>
                <w:b w:val="0"/>
                <w:sz w:val="12"/>
              </w:rPr>
              <w:t>Goldflex</w:t>
            </w:r>
          </w:p>
        </w:tc>
        <w:tc>
          <w:tcPr>
            <w:tcW w:type="dxa" w:w="1350"/>
            <w:tcMar>
              <w:top w:w="80" w:type="dxa"/>
              <w:bottom w:w="80" w:type="dxa"/>
              <w:start w:w="100" w:type="dxa"/>
              <w:end w:w="100" w:type="dxa"/>
            </w:tcMar>
            <w:vAlign w:val="top"/>
          </w:tcPr>
          <w:p>
            <w:pPr>
              <w:spacing w:after="0" w:line="240" w:lineRule="auto"/>
              <w:jc w:val="center"/>
            </w:pPr>
            <w:r/>
            <w:r>
              <w:rPr>
                <w:rFonts w:ascii="Arial" w:hAnsi="Arial"/>
                <w:b w:val="0"/>
                <w:sz w:val="12"/>
              </w:rPr>
              <w:t>R$ 1.045,59</w:t>
            </w:r>
          </w:p>
        </w:tc>
        <w:tc>
          <w:tcPr>
            <w:tcW w:type="dxa" w:w="1530"/>
            <w:tcMar>
              <w:top w:w="80" w:type="dxa"/>
              <w:bottom w:w="80" w:type="dxa"/>
              <w:start w:w="100" w:type="dxa"/>
              <w:end w:w="100" w:type="dxa"/>
            </w:tcMar>
            <w:vAlign w:val="top"/>
          </w:tcPr>
          <w:p>
            <w:pPr>
              <w:spacing w:after="0" w:line="240" w:lineRule="auto"/>
              <w:jc w:val="center"/>
            </w:pPr>
            <w:r/>
            <w:r>
              <w:rPr>
                <w:rFonts w:ascii="Arial" w:hAnsi="Arial"/>
                <w:b w:val="0"/>
                <w:sz w:val="12"/>
              </w:rPr>
              <w:t>R$ 16.398.876,72</w:t>
            </w:r>
          </w:p>
        </w:tc>
      </w:tr>
      <w:tr>
        <w:tc>
          <w:tcPr>
            <w:tcW w:type="dxa" w:w="520"/>
            <w:tcMar>
              <w:top w:w="80" w:type="dxa"/>
              <w:bottom w:w="80" w:type="dxa"/>
              <w:start w:w="100" w:type="dxa"/>
              <w:end w:w="100" w:type="dxa"/>
            </w:tcMar>
            <w:vAlign w:val="top"/>
          </w:tcPr>
          <w:p>
            <w:pPr>
              <w:spacing w:after="0" w:line="240" w:lineRule="auto"/>
              <w:jc w:val="center"/>
            </w:pPr>
            <w:r/>
            <w:r>
              <w:rPr>
                <w:rFonts w:ascii="Arial" w:hAnsi="Arial"/>
                <w:b w:val="0"/>
                <w:sz w:val="12"/>
              </w:rPr>
              <w:t>11</w:t>
            </w:r>
          </w:p>
        </w:tc>
        <w:tc>
          <w:tcPr>
            <w:tcW w:type="dxa" w:w="580"/>
            <w:tcMar>
              <w:top w:w="80" w:type="dxa"/>
              <w:bottom w:w="80" w:type="dxa"/>
              <w:start w:w="100" w:type="dxa"/>
              <w:end w:w="100" w:type="dxa"/>
            </w:tcMar>
            <w:vAlign w:val="top"/>
          </w:tcPr>
          <w:p>
            <w:pPr>
              <w:spacing w:after="0" w:line="240" w:lineRule="auto"/>
              <w:jc w:val="center"/>
            </w:pPr>
            <w:r/>
            <w:r>
              <w:rPr>
                <w:rFonts w:ascii="Arial" w:hAnsi="Arial"/>
                <w:b w:val="0"/>
                <w:sz w:val="12"/>
              </w:rPr>
              <w:t>R$ 12.300,00</w:t>
            </w:r>
          </w:p>
        </w:tc>
        <w:tc>
          <w:tcPr>
            <w:tcW w:type="dxa" w:w="500"/>
            <w:tcMar>
              <w:top w:w="80" w:type="dxa"/>
              <w:bottom w:w="80" w:type="dxa"/>
              <w:start w:w="100" w:type="dxa"/>
              <w:end w:w="100" w:type="dxa"/>
            </w:tcMar>
            <w:vAlign w:val="top"/>
          </w:tcPr>
          <w:p>
            <w:pPr>
              <w:spacing w:after="0" w:line="240" w:lineRule="auto"/>
              <w:jc w:val="center"/>
            </w:pPr>
            <w:r/>
            <w:r>
              <w:rPr>
                <w:rFonts w:ascii="Arial" w:hAnsi="Arial"/>
                <w:b w:val="0"/>
                <w:sz w:val="12"/>
              </w:rPr>
              <w:t>UND</w:t>
            </w:r>
          </w:p>
        </w:tc>
        <w:tc>
          <w:tcPr>
            <w:tcW w:type="dxa" w:w="5200"/>
            <w:tcMar>
              <w:top w:w="80" w:type="dxa"/>
              <w:bottom w:w="80" w:type="dxa"/>
              <w:start w:w="100" w:type="dxa"/>
              <w:end w:w="100" w:type="dxa"/>
            </w:tcMar>
            <w:vAlign w:val="top"/>
          </w:tcPr>
          <w:p>
            <w:pPr>
              <w:spacing w:after="0" w:line="240" w:lineRule="auto"/>
              <w:jc w:val="left"/>
            </w:pPr>
            <w:r/>
            <w:r>
              <w:rPr>
                <w:rFonts w:ascii="Arial" w:hAnsi="Arial"/>
                <w:b w:val="0"/>
                <w:sz w:val="12"/>
              </w:rPr>
              <w:t>Coils embolizante – Molas de platina para embolização para procedimentos de emboli- zação arterial ou venosa de vasos longos, pequenos ou finos e com fluxo baixo ou mo- derado, com comprimento entre 14 e 20cm e diâmetros entre 0,6 e 2cm. O vencedor terá que fornecer o Dispositivo ou Sistema de li- beração controlada mecânico de mola.</w:t>
            </w:r>
          </w:p>
        </w:tc>
        <w:tc>
          <w:tcPr>
            <w:tcW w:type="dxa" w:w="1200"/>
            <w:tcMar>
              <w:top w:w="80" w:type="dxa"/>
              <w:bottom w:w="80" w:type="dxa"/>
              <w:start w:w="100" w:type="dxa"/>
              <w:end w:w="100" w:type="dxa"/>
            </w:tcMar>
            <w:vAlign w:val="top"/>
          </w:tcPr>
          <w:p>
            <w:pPr>
              <w:spacing w:after="0" w:line="240" w:lineRule="auto"/>
              <w:jc w:val="center"/>
            </w:pPr>
            <w:r/>
            <w:r>
              <w:rPr>
                <w:rFonts w:ascii="Arial" w:hAnsi="Arial"/>
                <w:b w:val="0"/>
                <w:sz w:val="12"/>
              </w:rPr>
              <w:t>Goldflex</w:t>
            </w:r>
          </w:p>
        </w:tc>
        <w:tc>
          <w:tcPr>
            <w:tcW w:type="dxa" w:w="1350"/>
            <w:tcMar>
              <w:top w:w="80" w:type="dxa"/>
              <w:bottom w:w="80" w:type="dxa"/>
              <w:start w:w="100" w:type="dxa"/>
              <w:end w:w="100" w:type="dxa"/>
            </w:tcMar>
            <w:vAlign w:val="top"/>
          </w:tcPr>
          <w:p>
            <w:pPr>
              <w:spacing w:after="0" w:line="240" w:lineRule="auto"/>
              <w:jc w:val="center"/>
            </w:pPr>
            <w:r/>
            <w:r>
              <w:rPr>
                <w:rFonts w:ascii="Arial" w:hAnsi="Arial"/>
                <w:b w:val="0"/>
                <w:sz w:val="12"/>
              </w:rPr>
              <w:t>R$ 820,00</w:t>
            </w:r>
          </w:p>
        </w:tc>
        <w:tc>
          <w:tcPr>
            <w:tcW w:type="dxa" w:w="1530"/>
            <w:tcMar>
              <w:top w:w="80" w:type="dxa"/>
              <w:bottom w:w="80" w:type="dxa"/>
              <w:start w:w="100" w:type="dxa"/>
              <w:end w:w="100" w:type="dxa"/>
            </w:tcMar>
            <w:vAlign w:val="top"/>
          </w:tcPr>
          <w:p>
            <w:pPr>
              <w:spacing w:after="0" w:line="240" w:lineRule="auto"/>
              <w:jc w:val="center"/>
            </w:pPr>
            <w:r/>
            <w:r>
              <w:rPr>
                <w:rFonts w:ascii="Arial" w:hAnsi="Arial"/>
                <w:b w:val="0"/>
                <w:sz w:val="12"/>
              </w:rPr>
              <w:t>R$ 10.086.000,00</w:t>
            </w:r>
          </w:p>
        </w:tc>
      </w:tr>
      <w:tr>
        <w:tc>
          <w:tcPr>
            <w:tcW w:type="dxa" w:w="520"/>
            <w:tcMar>
              <w:top w:w="80" w:type="dxa"/>
              <w:bottom w:w="80" w:type="dxa"/>
              <w:start w:w="100" w:type="dxa"/>
              <w:end w:w="100" w:type="dxa"/>
            </w:tcMar>
            <w:vAlign w:val="top"/>
          </w:tcPr>
          <w:p>
            <w:pPr>
              <w:spacing w:after="0" w:line="240" w:lineRule="auto"/>
              <w:jc w:val="center"/>
            </w:pPr>
            <w:r/>
            <w:r>
              <w:rPr>
                <w:rFonts w:ascii="Arial" w:hAnsi="Arial"/>
                <w:b w:val="0"/>
                <w:sz w:val="12"/>
              </w:rPr>
              <w:t>12</w:t>
            </w:r>
          </w:p>
        </w:tc>
        <w:tc>
          <w:tcPr>
            <w:tcW w:type="dxa" w:w="580"/>
            <w:tcMar>
              <w:top w:w="80" w:type="dxa"/>
              <w:bottom w:w="80" w:type="dxa"/>
              <w:start w:w="100" w:type="dxa"/>
              <w:end w:w="100" w:type="dxa"/>
            </w:tcMar>
            <w:vAlign w:val="top"/>
          </w:tcPr>
          <w:p>
            <w:pPr>
              <w:spacing w:after="0" w:line="240" w:lineRule="auto"/>
              <w:jc w:val="center"/>
            </w:pPr>
            <w:r/>
            <w:r>
              <w:rPr>
                <w:rFonts w:ascii="Arial" w:hAnsi="Arial"/>
                <w:b w:val="0"/>
                <w:sz w:val="12"/>
              </w:rPr>
              <w:t>R$ 29.990,00</w:t>
            </w:r>
          </w:p>
        </w:tc>
        <w:tc>
          <w:tcPr>
            <w:tcW w:type="dxa" w:w="500"/>
            <w:tcMar>
              <w:top w:w="80" w:type="dxa"/>
              <w:bottom w:w="80" w:type="dxa"/>
              <w:start w:w="100" w:type="dxa"/>
              <w:end w:w="100" w:type="dxa"/>
            </w:tcMar>
            <w:vAlign w:val="top"/>
          </w:tcPr>
          <w:p>
            <w:pPr>
              <w:spacing w:after="0" w:line="240" w:lineRule="auto"/>
              <w:jc w:val="center"/>
            </w:pPr>
            <w:r/>
            <w:r>
              <w:rPr>
                <w:rFonts w:ascii="Arial" w:hAnsi="Arial"/>
                <w:b w:val="0"/>
                <w:sz w:val="12"/>
              </w:rPr>
              <w:t>UND</w:t>
            </w:r>
          </w:p>
        </w:tc>
        <w:tc>
          <w:tcPr>
            <w:tcW w:type="dxa" w:w="5200"/>
            <w:tcMar>
              <w:top w:w="80" w:type="dxa"/>
              <w:bottom w:w="80" w:type="dxa"/>
              <w:start w:w="100" w:type="dxa"/>
              <w:end w:w="100" w:type="dxa"/>
            </w:tcMar>
            <w:vAlign w:val="top"/>
          </w:tcPr>
          <w:p>
            <w:pPr>
              <w:spacing w:after="0" w:line="240" w:lineRule="auto"/>
              <w:jc w:val="left"/>
            </w:pPr>
            <w:r/>
            <w:r>
              <w:rPr>
                <w:rFonts w:ascii="Arial" w:hAnsi="Arial"/>
                <w:b w:val="0"/>
                <w:sz w:val="12"/>
              </w:rPr>
              <w:t>Sistema de embolização hidrofílica vascular periférico liberação livre, composto de mola de platina e um polímero hidrogel expansível, compatível com fio guia 0.018". Tamanho: com diâmetro de 2mm x 10mm e compri- mento de 2 a 14 cm.</w:t>
            </w:r>
          </w:p>
        </w:tc>
        <w:tc>
          <w:tcPr>
            <w:tcW w:type="dxa" w:w="1200"/>
            <w:tcMar>
              <w:top w:w="80" w:type="dxa"/>
              <w:bottom w:w="80" w:type="dxa"/>
              <w:start w:w="100" w:type="dxa"/>
              <w:end w:w="100" w:type="dxa"/>
            </w:tcMar>
            <w:vAlign w:val="top"/>
          </w:tcPr>
          <w:p>
            <w:pPr>
              <w:spacing w:after="0" w:line="240" w:lineRule="auto"/>
              <w:jc w:val="center"/>
            </w:pPr>
            <w:r/>
            <w:r>
              <w:rPr>
                <w:rFonts w:ascii="Arial" w:hAnsi="Arial"/>
                <w:b w:val="0"/>
                <w:sz w:val="12"/>
              </w:rPr>
              <w:t>Goldflex</w:t>
            </w:r>
          </w:p>
        </w:tc>
        <w:tc>
          <w:tcPr>
            <w:tcW w:type="dxa" w:w="1350"/>
            <w:tcMar>
              <w:top w:w="80" w:type="dxa"/>
              <w:bottom w:w="80" w:type="dxa"/>
              <w:start w:w="100" w:type="dxa"/>
              <w:end w:w="100" w:type="dxa"/>
            </w:tcMar>
            <w:vAlign w:val="top"/>
          </w:tcPr>
          <w:p>
            <w:pPr>
              <w:spacing w:after="0" w:line="240" w:lineRule="auto"/>
              <w:jc w:val="center"/>
            </w:pPr>
            <w:r/>
            <w:r>
              <w:rPr>
                <w:rFonts w:ascii="Arial" w:hAnsi="Arial"/>
                <w:b w:val="0"/>
                <w:sz w:val="12"/>
              </w:rPr>
              <w:t>R$ 2.999,00</w:t>
            </w:r>
          </w:p>
        </w:tc>
        <w:tc>
          <w:tcPr>
            <w:tcW w:type="dxa" w:w="1530"/>
            <w:tcMar>
              <w:top w:w="80" w:type="dxa"/>
              <w:bottom w:w="80" w:type="dxa"/>
              <w:start w:w="100" w:type="dxa"/>
              <w:end w:w="100" w:type="dxa"/>
            </w:tcMar>
            <w:vAlign w:val="top"/>
          </w:tcPr>
          <w:p>
            <w:pPr>
              <w:spacing w:after="0" w:line="240" w:lineRule="auto"/>
              <w:jc w:val="center"/>
            </w:pPr>
            <w:r/>
            <w:r>
              <w:rPr>
                <w:rFonts w:ascii="Arial" w:hAnsi="Arial"/>
                <w:b w:val="0"/>
                <w:sz w:val="12"/>
              </w:rPr>
              <w:t>R$ 89.940.010,00</w:t>
            </w:r>
          </w:p>
        </w:tc>
      </w:tr>
      <w:tr>
        <w:tc>
          <w:tcPr>
            <w:tcW w:type="dxa" w:w="520"/>
            <w:tcMar>
              <w:top w:w="80" w:type="dxa"/>
              <w:bottom w:w="80" w:type="dxa"/>
              <w:start w:w="100" w:type="dxa"/>
              <w:end w:w="100" w:type="dxa"/>
            </w:tcMar>
            <w:vAlign w:val="top"/>
          </w:tcPr>
          <w:p>
            <w:pPr>
              <w:spacing w:after="0" w:line="240" w:lineRule="auto"/>
              <w:jc w:val="center"/>
            </w:pPr>
            <w:r/>
            <w:r>
              <w:rPr>
                <w:rFonts w:ascii="Arial" w:hAnsi="Arial"/>
                <w:b w:val="0"/>
                <w:sz w:val="12"/>
              </w:rPr>
              <w:t>13</w:t>
            </w:r>
          </w:p>
        </w:tc>
        <w:tc>
          <w:tcPr>
            <w:tcW w:type="dxa" w:w="580"/>
            <w:tcMar>
              <w:top w:w="80" w:type="dxa"/>
              <w:bottom w:w="80" w:type="dxa"/>
              <w:start w:w="100" w:type="dxa"/>
              <w:end w:w="100" w:type="dxa"/>
            </w:tcMar>
            <w:vAlign w:val="top"/>
          </w:tcPr>
          <w:p>
            <w:pPr>
              <w:spacing w:after="0" w:line="240" w:lineRule="auto"/>
              <w:jc w:val="center"/>
            </w:pPr>
            <w:r/>
            <w:r>
              <w:rPr>
                <w:rFonts w:ascii="Arial" w:hAnsi="Arial"/>
                <w:b w:val="0"/>
                <w:sz w:val="12"/>
              </w:rPr>
              <w:t>R$ 54.800,00</w:t>
            </w:r>
          </w:p>
        </w:tc>
        <w:tc>
          <w:tcPr>
            <w:tcW w:type="dxa" w:w="500"/>
            <w:tcMar>
              <w:top w:w="80" w:type="dxa"/>
              <w:bottom w:w="80" w:type="dxa"/>
              <w:start w:w="100" w:type="dxa"/>
              <w:end w:w="100" w:type="dxa"/>
            </w:tcMar>
            <w:vAlign w:val="top"/>
          </w:tcPr>
          <w:p>
            <w:pPr>
              <w:spacing w:after="0" w:line="240" w:lineRule="auto"/>
              <w:jc w:val="center"/>
            </w:pPr>
            <w:r/>
            <w:r>
              <w:rPr>
                <w:rFonts w:ascii="Arial" w:hAnsi="Arial"/>
                <w:b w:val="0"/>
                <w:sz w:val="12"/>
              </w:rPr>
              <w:t>UND</w:t>
            </w:r>
          </w:p>
        </w:tc>
        <w:tc>
          <w:tcPr>
            <w:tcW w:type="dxa" w:w="5200"/>
            <w:tcMar>
              <w:top w:w="80" w:type="dxa"/>
              <w:bottom w:w="80" w:type="dxa"/>
              <w:start w:w="100" w:type="dxa"/>
              <w:end w:w="100" w:type="dxa"/>
            </w:tcMar>
            <w:vAlign w:val="top"/>
          </w:tcPr>
          <w:p>
            <w:pPr>
              <w:spacing w:after="0" w:line="240" w:lineRule="auto"/>
              <w:jc w:val="left"/>
            </w:pPr>
            <w:r/>
            <w:r>
              <w:rPr>
                <w:rFonts w:ascii="Arial" w:hAnsi="Arial"/>
                <w:b w:val="0"/>
                <w:sz w:val="12"/>
              </w:rPr>
              <w:t>Sistema de embolização hidrofílica vascular periférico liberação controlada, composto de mola de platina e um polímero hidrogel ex- pansível, compatível com fio guia 0.018". Tamanho: com diâmetro de 3mm x 20mm e comprimento de 5 a 30 cm.</w:t>
            </w:r>
          </w:p>
        </w:tc>
        <w:tc>
          <w:tcPr>
            <w:tcW w:type="dxa" w:w="1200"/>
            <w:tcMar>
              <w:top w:w="80" w:type="dxa"/>
              <w:bottom w:w="80" w:type="dxa"/>
              <w:start w:w="100" w:type="dxa"/>
              <w:end w:w="100" w:type="dxa"/>
            </w:tcMar>
            <w:vAlign w:val="top"/>
          </w:tcPr>
          <w:p>
            <w:pPr>
              <w:spacing w:after="0" w:line="240" w:lineRule="auto"/>
              <w:jc w:val="center"/>
            </w:pPr>
            <w:r/>
            <w:r>
              <w:rPr>
                <w:rFonts w:ascii="Arial" w:hAnsi="Arial"/>
                <w:b w:val="0"/>
                <w:sz w:val="12"/>
              </w:rPr>
              <w:t>Goldflex</w:t>
            </w:r>
          </w:p>
        </w:tc>
        <w:tc>
          <w:tcPr>
            <w:tcW w:type="dxa" w:w="1350"/>
            <w:tcMar>
              <w:top w:w="80" w:type="dxa"/>
              <w:bottom w:w="80" w:type="dxa"/>
              <w:start w:w="100" w:type="dxa"/>
              <w:end w:w="100" w:type="dxa"/>
            </w:tcMar>
            <w:vAlign w:val="top"/>
          </w:tcPr>
          <w:p>
            <w:pPr>
              <w:spacing w:after="0" w:line="240" w:lineRule="auto"/>
              <w:jc w:val="center"/>
            </w:pPr>
            <w:r/>
            <w:r>
              <w:rPr>
                <w:rFonts w:ascii="Arial" w:hAnsi="Arial"/>
                <w:b w:val="0"/>
                <w:sz w:val="12"/>
              </w:rPr>
              <w:t>R$ 2.740,00</w:t>
            </w:r>
          </w:p>
        </w:tc>
        <w:tc>
          <w:tcPr>
            <w:tcW w:type="dxa" w:w="1530"/>
            <w:tcMar>
              <w:top w:w="80" w:type="dxa"/>
              <w:bottom w:w="80" w:type="dxa"/>
              <w:start w:w="100" w:type="dxa"/>
              <w:end w:w="100" w:type="dxa"/>
            </w:tcMar>
            <w:vAlign w:val="top"/>
          </w:tcPr>
          <w:p>
            <w:pPr>
              <w:spacing w:after="0" w:line="240" w:lineRule="auto"/>
              <w:jc w:val="center"/>
            </w:pPr>
            <w:r/>
            <w:r>
              <w:rPr>
                <w:rFonts w:ascii="Arial" w:hAnsi="Arial"/>
                <w:b w:val="0"/>
                <w:sz w:val="12"/>
              </w:rPr>
              <w:t>R$ 150.152.000,00</w:t>
            </w:r>
          </w:p>
        </w:tc>
      </w:tr>
      <w:tr>
        <w:tc>
          <w:tcPr>
            <w:tcW w:type="dxa" w:w="520"/>
            <w:tcMar>
              <w:top w:w="80" w:type="dxa"/>
              <w:bottom w:w="80" w:type="dxa"/>
              <w:start w:w="100" w:type="dxa"/>
              <w:end w:w="100" w:type="dxa"/>
            </w:tcMar>
            <w:vAlign w:val="top"/>
          </w:tcPr>
          <w:p>
            <w:pPr>
              <w:spacing w:after="0" w:line="240" w:lineRule="auto"/>
              <w:jc w:val="center"/>
            </w:pPr>
            <w:r/>
            <w:r>
              <w:rPr>
                <w:rFonts w:ascii="Arial" w:hAnsi="Arial"/>
                <w:b w:val="0"/>
                <w:sz w:val="12"/>
              </w:rPr>
              <w:t>14</w:t>
            </w:r>
          </w:p>
        </w:tc>
        <w:tc>
          <w:tcPr>
            <w:tcW w:type="dxa" w:w="580"/>
            <w:tcMar>
              <w:top w:w="80" w:type="dxa"/>
              <w:bottom w:w="80" w:type="dxa"/>
              <w:start w:w="100" w:type="dxa"/>
              <w:end w:w="100" w:type="dxa"/>
            </w:tcMar>
            <w:vAlign w:val="top"/>
          </w:tcPr>
          <w:p>
            <w:pPr>
              <w:spacing w:after="0" w:line="240" w:lineRule="auto"/>
              <w:jc w:val="center"/>
            </w:pPr>
            <w:r/>
            <w:r>
              <w:rPr>
                <w:rFonts w:ascii="Arial" w:hAnsi="Arial"/>
                <w:b w:val="0"/>
                <w:sz w:val="12"/>
              </w:rPr>
              <w:t>R$ 89.970,00</w:t>
            </w:r>
          </w:p>
        </w:tc>
        <w:tc>
          <w:tcPr>
            <w:tcW w:type="dxa" w:w="500"/>
            <w:tcMar>
              <w:top w:w="80" w:type="dxa"/>
              <w:bottom w:w="80" w:type="dxa"/>
              <w:start w:w="100" w:type="dxa"/>
              <w:end w:w="100" w:type="dxa"/>
            </w:tcMar>
            <w:vAlign w:val="top"/>
          </w:tcPr>
          <w:p>
            <w:pPr>
              <w:spacing w:after="0" w:line="240" w:lineRule="auto"/>
              <w:jc w:val="center"/>
            </w:pPr>
            <w:r/>
            <w:r>
              <w:rPr>
                <w:rFonts w:ascii="Arial" w:hAnsi="Arial"/>
                <w:b w:val="0"/>
                <w:sz w:val="12"/>
              </w:rPr>
              <w:t>UND</w:t>
            </w:r>
          </w:p>
        </w:tc>
        <w:tc>
          <w:tcPr>
            <w:tcW w:type="dxa" w:w="5200"/>
            <w:tcMar>
              <w:top w:w="80" w:type="dxa"/>
              <w:bottom w:w="80" w:type="dxa"/>
              <w:start w:w="100" w:type="dxa"/>
              <w:end w:w="100" w:type="dxa"/>
            </w:tcMar>
            <w:vAlign w:val="top"/>
          </w:tcPr>
          <w:p>
            <w:pPr>
              <w:spacing w:after="0" w:line="240" w:lineRule="auto"/>
              <w:jc w:val="left"/>
            </w:pPr>
            <w:r/>
            <w:r>
              <w:rPr>
                <w:rFonts w:ascii="Arial" w:hAnsi="Arial"/>
                <w:b w:val="0"/>
                <w:sz w:val="12"/>
              </w:rPr>
              <w:t>Sistema de embolização hidrofílica vascular periférico liberação livre, composto de mola de platina e um polímero hidrogel expansível, compatível com fio guia 0.035". Tamanho: com diâmetro de 4mm x 15mm e compri- mento de 4 a 14 cm. GOVERNO DO ESTADO DO PARÁ FUNDAÇÃO HOSPITAL DE CLINICAS GASPAR VIANNA ASSESSORIA JURÍDICA Formulário TERMO DE REFERÊNCIA Última Revisão: 18/03/2024 VALOR GLOBAL ESTIMADO DESCRIÇÃO DA SOLUÇÃO A Fundação Pública Estadual Hospital das Clínicas Gaspar Vianna tem como missão a promoção de saúde, extensão e ensino; Assim, desenvolve serviços de Assistência à saúde, sistência hospitalar de média e alta complexidade em Psiquiatria, Cardiologia e Nefrologia. Dessa feita, objetivamos a aquisição eventual de OPMEs utilizadas em pro- cedimentos de embolização endovascular, em pacientes do SUS, por um período de 12 meses na Fundação Pública Estadual Hospital de Clínicas Gas- par Vianna (FPEHCGV). NATUREZA DO BEM ☒ Comum. ☐ Especial. PROVA DE QUALIDADE, RENDIMENTO, DURABILIDADE E SEGURANÇA DO BEM HAVERÁ PROVA DE QUALIDADE? QUAL O MOTIVO DA CONTRATAÇÃO? GOVERNO DO ESTADO DO PARÁ FUNDAÇÃO HOSPITAL DE CLINICAS GASPAR VIANNA ASSESSORIA JURÍDICA Formulário TERMO DE REFERÊNCIA Última Revisão: 18/03/2024 ocorrido alterações técnicas nos modelos, preservando-se, as- sim, a validade da conformidade técnica previamente reconhecida. ☐ Não. Será exigida a análise de amostras com base ao disposto no caput do Art. 41, inciso II da Lei 14.133/2021. Devendo a análise de amostras ser realizada durante a etapa de julgamento das propostas ou lances. A quantidade da amostra deverá ser de 01 (uma) unidade por item, que será testada pelo setor competente, com posterior ☒ Sim. emissão de parecer técnico. Caso o material, por suas caracte- rísticas, exija um maior número de amostras para realização do teste, o fornecedor será comunicado. As amostras deverão estar nas embalagens originais dos pro- dutos, contendo a data, o lote de fabricação, o prazo de validade e as especificações dos itens cotados. As amostras deverão ser entregues no Protocolo da Fundação Pública Estadual Hospital de Clínicas Gaspar Vianna – FPEHCGV, Central de Abastecimento Farmacêutico (CAF)/ Ser- viço de Farmácia Hospitalar (SEFAR), situado na Tv. Alferes Costa nº 2.000, Bairro Pedreira, CEP 66083-106 na Cidade de Belém, Estado do Pará, de segunda a sexta-feira, no horário das 8h às 16h. As amostras visam assegurar a qualidade mínima dos produtos e sua adequação às especificações contidas neste Termo de Referência deverão estar de acordo com os Critérios Objetivos, a seguir: ☐ Não. AVALIAÇÃO TÉCNICA Termo de Estar de acordo com o descritivo do item Referência Embalagem/ Estar nas embalagens originais dos produtos Rotulagem Data, lote de fabricação, prazo de validade e Registro na Anvisa. Identificação visual e escrita do produto Selagem e abertura da embalagem O EDITAL EXIGIRÁ AMOSTRA? AVALIAÇÃO TÉCNICA Estar de acordo com o descritivo do item Estar nas embalagens originais dos produtos Data, lote de fabricação, prazo de validade e Registro na Anvisa. Identificação visual e escrita do produto Selagem e abertura da embalagem GOVERNO DO ESTADO DO PARÁ FUNDAÇÃO HOSPITAL DE CLINICAS GASPAR VIANNA ASSESSORIA JURÍDICA Formulário TERMO DE REFERÊNCIA Última Revisão: 18/03/2024 Manuseio e uso/manipulação Introdução no vaso Progressão/ Deslizamento Diâmetro Comprimento Sistemas e Dispositivos O contratado deverá prestar garantia dos bens indicados por, no mínimo, 12 (doze) meses, a partir do seu recebimento pela contratante. Os chamados relativos à garantia serão feitos pelo ☒ Sim. Hospital, por escrito, obrigando-se a empresa a atendê-la no prazo máximo de 48 (quarenta e oito) horas e, se necessária a troca do produto, deverão substituí-lo por outro de igual es- pecificação e serem devolvidos em até 48 (quarenta e oito) horas corridas, em perfeitas condições de uso. Dentro dos processos de Tecnovigilância, caso seja constatada qualquer dúvida quanto à composição, apresentação, etc., a mesma será notificada pelo médico ou enfermeiro que utilizou o produto à Gerência de Risco Hospitalar, que fará os encami- ☐ Não. nhamentos à ANVISA, comunicando oficialmente ao SEFAR, as providências a serem tomadas junto ao Fornecedor. A empresa fornecedora ficará comprometida a trocá-lo no prazo de até 48 horas, sem ônus à instituição, além de fornecer retorno documentado quanto as providências técnicas enca- minhadas e seus resultados. HAVERÁ ASSISTÊNCIA TÉCNICA? ☒Não CRITÉRIOS DE SELEÇÃO ☐ Inexigibilidade de licitação, com fundamento no art. 74, Y, da Lei Federal nº 14.133/21. HAVERÁ ASSISTÊNCIA TÉCNICA? Justificativa: GOVERNO DO ESTADO DO PARÁ FUNDAÇÃO HOSPITAL DE CLINICAS GASPAR VIANNA ASSESSORIA JURÍDICA Formulário TERMO DE REFERÊNCIA Última Revisão: 18/03/2024 ☐ Dispensa de licitação em razão do valor*, com fundamento no art. 75, II, da Lei Federal nº 14.133/21. * Nesta hipótese, deve-se utilizar preferencialmente a dispensa eletrônica. ☐ Dispensa de licitação, com fundamento no art. 75, Y, da Lei Federal nº 14.133/21. ☐ Credenciamento – Art.78, inciso I e art.79, caput da lei Federal nº 14.133/21. ☒ Sistema de Registro de Preços. ☒ Menor preço. ☐ Maior desconto. ☐ Preço fixado – Tabela SUS ☐ Sim. Justificativa: ☒ Não. ESTIMADO É SIGILOSO? A proposta deve observar o valor unitário e global máximo aceitável con- forme planilha de composição de preços do orçamento estimado. A proposta de preço deverá ser apresentada em papel timbrado da em- presa, contendo todos os dados que identifiquem a empresa, como a razão social, CNPJ, endereço completo, telefone fixo, e-mail, informações bancá- rias e assinadas pelo representante legal da empresa. Apresentar, referente ao produto ofertado, em cada item, de forma clara e inequívoca no objeto licitado: a) Indicação do valor unitário e total de cada item e o valor total da proposta, que o fornecedor se propõe a entregar, em algarismo e por extenso, já incluídas, discriminadamente, todas e quaisquer despesas tais como frete, taxas, seguros, encargos trabalhistas, previdenciários, fiscais, comerciais, taxas e impostos, inclusive o desembaraço alfan- degário, dentre outras, observadas as isenções previstas na legislação, com cotações em moeda corrente nacional e quaisquer CRITÉRIO DE JULGAMENTO CRITÉRIO PARA A PROPOSTA SER ACEITA GOVERNO DO ESTADO DO PARÁ FUNDAÇÃO HOSPITAL DE CLINICAS GASPAR VIANNA ASSESSORIA JURÍDICA Formulário TERMO DE REFERÊNCIA Última Revisão: 18/03/2024 outras despesas que incidam ou venham a incidir sobre o objeto deste Termo de Referência; b) Descritivo conforme termo de referência. c) Fabricante. d) Procedência do objeto licitado. (Nacional ou Importado) e) Marca. f) A embalagem com o quantitativo do produto ofertado. g) O número completo do registro expedido pela ANVISA/MS. Deverá ser enviado em anexo à proposta da licitante: • Comprovante do Registro, Cadastramento ou Notificação do produto ofertado no Ministério da Saúde do Brasil/ANVISA, ou comprovação da ausência desta obrigatoriedade, quando for equipamento médico hospitalar. Deverá também ser enviado em anexo à proposta, para efeito de julga- mento técnico do produto que a licitante está disputando catálogo descritivo e figurado do item ofertado: a) O licitante deverá declarar na proposta que entregará os produtos com prazo de validade, na forma disposta neste Termo de Referência. b) Toda proposta apresentada será considerada com prazo de validade de 120 (cento e vinte) dias, a contar da data de sua apresentação, salvo se da mesma constar prazo superior, quando então prevalecerá este prazo. Indicar os itens/justificativa: Embora os valores praticados nos itens 1-13 e 15 sejam inferiores a $80.000,00 (oitenta mil reais), solicito dispensa da participação de ME/EPP com exclu- ☐ Sim. sividade neste certame, uma vez que se tratam de itens com alta especificidade e de grande importância na manutenção da continuidade dos procedimentos. ☒ Não. REQUISITOS DA CONTRATADA HÁ ITENS COM PARTICIPAÇÃO EXCLUSIVA PARA MICROEMPRESAS E EMPRESA DE PEQUENO PORTE? GOVERNO DO ESTADO DO PARÁ FUNDAÇÃO HOSPITAL DE CLINICAS GASPAR VIANNA ASSESSORIA JURÍDICA Formulário TERMO DE REFERÊNCIA Última Revisão: 18/03/2024 Todos os laboratórios, Empresas e/ ou Distribuidoras que es- tejam apresentando propostas para o fornecimento dos produtos, são obrigados a apresentar os seguintes documen- tos organizados na seguinte sequência. ☐ Não. Qualificação técnica dos insumos: ☒ Comprovante de Autorização de Funcionamento expedida pela Agência Nacional de Vigilância Sanitária, dentro do prazo de validade, referente ao Licitante; ☒ Licença de funcionamento da Vigilância Sanitária Estadual ou Municipal do exercício, dentro do prazo de validade ☒ Certificado de registro do produto, emitido pela Agência Nacional de Vi- gilância Sanitária – ANVISA, dentro do prazo de validade. Os fornecedores deverão apresentar o registro com sua indicação em publicação DE FORMA CLARA E PRECISA através de marcador, INDICANDO O ITEM COTADO; ☒ Atestado expedido por instituições públicas ou privadas, em papel tim- brado do emitente, em original ou cópia autenticada, emitido por pessoa jurídica de direito público ou privado, que comprove que a empresa a ser contratada forneceu ou está fornecendo, de maneira satisfatória e a con- tento, produtos da natureza e vulto similares com o objeto da presente licitação. Especificar: As empresas deverão adotar boas práticas de oti- mização de recursos, objetivando a redução de desperdícios e menor poluição, tal como dispõe o decreto nº 4.193, de 18 de setembro de 2024, que trata sobre as diretrizes e critérios de sustentabilidade a serem observados nas licitações e contrata- ções realizadas pela Administração Pública Estadual, nos termos da Lei Federal nº 14.133, de 1º de abril de 2021, de li- citações e contratos administrativos. Os critérios de sustentabilidade para licitação e contratação de bens devem seguir o disposto no Art. 9º decreto nº 4.193, de 18 de setembro de 2024, conforme exposto abaixo: SERÁ EXIGIDA HABILITAÇÃO TÉCNICA? QUALIFICAÇÕES TÉCNICAS EXIGIDAS HÁ CRITÉRIO DE SUSTENTABILI- DADE? GOVERNO DO ESTADO DO PARÁ FUNDAÇÃO HOSPITAL DE CLINICAS GASPAR VIANNA ASSESSORIA JURÍDICA Formulário TERMO DE REFERÊNCIA Última Revisão: 18/03/2024 I - a utilização de bens constituídos, no todo ou em parte, por material reciclado, atóxico e biodegradável, conforme as normas técnicas aplicáveis; II - o atendimento aos requisitos ambientais para a ob- tenção de certificação pelos órgãos competentes como produtos sustentáveis e/ou de menor impacto ambien- tal em relação aos seus similares; III - a utilização, preferencial, de embalagem adequada, com o menor volume possível, que utilize materiais re- cicláveis, de forma a garantir a máxima proteção durante o transporte e o armazenamento; IV - não utilização de bens e produtos com substâncias perigosas em concentração acima da recomendada na diretiva RoHS (Restriction of Certain Hazardous Subs- tances) e outras diretivas similares, tais como mercúrio (Hg), chumbo (Pb), cromo hexavalente [Cr(VI)], cádmio (Cd), bifenil-polibromados (PBB’s) e éteres difenil-poli- bromados (PBDE’s); e V - maior ciclo de vida e menor custo de manutenção do bem. § 1º O edital poderá indicar as normas técnicas a serem exigi- das para a adequação dos bens e serviços aos padrões de sustentabilidade. 1. § 2º A comprovação do disposto neste artigo poderá ser feita mediante apresentação de certificação emitida por instituição pública oficial ou instituição credenciada, ou por qualquer outro meio indicado no edital. ☐ Não. HÁ RISCOS A SEREM ASSUMIDOS PELA CONTRATADA? Risco 1: Sofrer penalidades, caso não cumpra todos os requisi- tos do contrato/ata; HÁ RISCOS A SEREM ASSUMIDOS PELA CONTRATADA? GOVERNO DO ESTADO DO PARÁ FUNDAÇÃO HOSPITAL DE CLINICAS GASPAR VIANNA ASSESSORIA JURÍDICA Formulário TERMO DE REFERÊNCIA Última Revisão: 18/03/2024 Risco 2: Arcar com custos adicionais, resultantes de variações de valores no mercado, até que seja comprovado a necessi- dade de reequilíbrio e submissão de aprovação por parte da administração pública; Risco 3: Arcar com todos os custos, em função da necessidade de troca/reposição de produtos, oriunda de avarias, desvios ou não atendimento das condições especificadas no Termo de re- ferência e edital. ☐ Não. FORMA DE ENTREGA DO BEM ☐ O bem deve ser totalmente entregue de uma só vez, conforme edital. ☒ O bem deve ser entregue em caráter de consignação, conforme a neces- sidade do contratante, em até 15 (quinze) a contar da assinatura da Ata de Registro de Preços. Os itens devem estar em suas embalagens originais, devidamente identifi- cados, em perfeito estado, sem sinais de violação, aderência ao produto, umidade ou inadequação do conteúdo, nas condições de temperatura es- pecificadas no rótulo e com número do registro emitido pela ANVISA/MS. Deve constar ainda o nome e número do registro do responsável técnico. Os itens 1, 2 e 3 serão adquiridos mediante emissão de empenho, devendo ser entregues no prazo máximo de 15 (quinze) dias, contados da data de recebimento do respectivo empenho. Os demais itens deverão ser fornecidos em regime de consignação/anteci- pação. Aqueles que possuam grades, kits ou conjuntos deverão ser entregues inicialmente em 02 (duas) grades completas. Após a utilização e envio da ficha de uso à empresa, a reposição das unidades utilizadas de- verá ocorrer no prazo máximo de 72 (setenta e duas) horas. Os itens fornecidos em antecipação deverão ser entregues acompanhados de nota de simples remessa. Após a utilização, deverá ser apresentado or- çamento contendo o nome do paciente, a data da cirurgia e o médico responsável, para posterior emissão do empenho e da nota fiscal de venda. COMO O BEM DEVE SER ENTREGUE? GOVERNO DO ESTADO DO PARÁ FUNDAÇÃO HOSPITAL DE CLINICAS GASPAR VIANNA ASSESSORIA JURÍDICA Formulário TERMO DE REFERÊNCIA Última Revisão: 18/03/2024 As notas fiscais de venda deverão ser em duas vias e ter descrito o nome da especificação técnica, relacionando a quantidade (em unidade) entregue por número do lote, que obrigatoriamente deverá corresponder ao produto entregue. Os produtos a serem adquiridos deverão ser entregues sem ônus de frete para a FPEHCGV, em perfeitas condições de uso e funcionamento, conforme a proposta apresentada e observando as especificações técnicas. Os produtos devem ser transportados em veículos refrigerados ou em reci- pientes apropriados, que garantam a temperatura ideal, conforme estipulado pelo fabricante. Os veículos devem apresentar-se higienizados, isentos de resíduos de alimentos e materiais para evitar contaminação dos produtos transportados. Os funcionários das firmas responsáveis pelas entregas deverão apresentar- se em número suficiente para descarga dos produtos. Os OPMEs deverão ser entregues na Fundação Pública Estadual Hospital de Clínicas Gaspar Vianna – FPEHCGV, Central de Abastecimento Farmacêu- tico (CAF)/ Serviço de Farmácia Hospitalar (SEFAR), situado na Tv. Alferes Costa nº 2.000, Bairro Pedreira, CEP 66083-106 na Cidade de Belém, Estado do Pará, de segunda a sexta-feira (exceto feriados), no horário das 8h às 16h, conforme descrito na especificação técnica. O fornecedor deverá entregar a OPME proposta com, no mínimo, 80% da validade total do produto no ato da entrega, sendo 18 (dezoito) meses a menor validade aceita para recebimento. Caso o produto não possua esta validade é obrigatória a apresentação da carta de compromisso de troca, onde a empresa se responsabiliza pela troca do produto sem nenhum ônus a FPEHCGV. PRAZO, FORMA DE PAGAMENTO E GARANTIA DO CONTRATO ☐ 30 dias (pronta entrega). ☐ 180 dias. ☒ 12 meses ☐ Sim LOCAL E HORA DA ENTREGA DO BEM PRAZO MÁXIMO DE VALIDADE PRAZO DO CONTRATO GOVERNO DO ESTADO DO PARÁ FUNDAÇÃO HOSPITAL DE CLINICAS GASPAR VIANNA ASSESSORIA JURÍDICA Formulário TERMO DE REFERÊNCIA Última Revisão: 18/03/2024 HAVERÁ POSSIBILIDADE DE PRORROGAÇÃO? FORMA DE PAGAMENTO Conta corrente da contratada no Banco do Estado do Pará. Conforme decreto estadual nº 877 de 31 de março de 2008. Até 30 dias corridos, a contar do recebimento da nota fis- cal (ou fatura) com o comprovante de regularidade fiscal da contratada. A regularidade fiscal pode ser provada: 1. Por consulta ao SICAF ou Cadastramento Unificado de Licitante. ou 2. Pela apresentação dos documentos constantes no art. 68 da Lei Federal nº 14.133/21, quando não for possível consultar aos sistemas oficiais. Justificativa: Em razão da eventuali- dade na aquisição e do recebimento ☒ Não há. em antecipação/consignação. DO ACOMPANHAMENTO E FISCALIZAÇÃO DOS INSUMOS O acompanhamento da ata de registro de preços para aquisição dos insumos será realizado pela servidora Daniela Smith Brito, matricula 54195001; suplente: Agnes Nami Kaminosono, matrícula n° 541898/1. PREVISÃO ORÇAMENTÁRIA DADOS ORÇAMENTÁRIOS DA CONTRATAÇÃO Elemento de Despesa: Fonte do Recurso: FORMA DE PAGAMENTO Prova da regularidade fiscal QUAL A GARANTIA DO CONTRATO? ORÇAMENTÁRIOS DA CONTRATAÇÃO GOVERNO DO ESTADO DO PARÁ FUNDAÇÃO HOSPITAL DE CLINICAS GASPAR VIANNA ASSESSORIA JURÍDICA Formulário TERMO DE REFERÊNCIA Última Revisão: 18/03/2024 Obs: Esses dados estão sujeitos à revisão por ocasião da emissão do ates- tado de disponibilidade orçamentária.</w:t>
            </w:r>
          </w:p>
        </w:tc>
        <w:tc>
          <w:tcPr>
            <w:tcW w:type="dxa" w:w="1200"/>
            <w:tcMar>
              <w:top w:w="80" w:type="dxa"/>
              <w:bottom w:w="80" w:type="dxa"/>
              <w:start w:w="100" w:type="dxa"/>
              <w:end w:w="100" w:type="dxa"/>
            </w:tcMar>
            <w:vAlign w:val="top"/>
          </w:tcPr>
          <w:p>
            <w:pPr>
              <w:spacing w:after="0" w:line="240" w:lineRule="auto"/>
              <w:jc w:val="center"/>
            </w:pPr>
            <w:r/>
            <w:r>
              <w:rPr>
                <w:rFonts w:ascii="Arial" w:hAnsi="Arial"/>
                <w:b w:val="0"/>
                <w:sz w:val="12"/>
              </w:rPr>
              <w:t>Goldflex</w:t>
            </w:r>
          </w:p>
        </w:tc>
        <w:tc>
          <w:tcPr>
            <w:tcW w:type="dxa" w:w="1350"/>
            <w:tcMar>
              <w:top w:w="80" w:type="dxa"/>
              <w:bottom w:w="80" w:type="dxa"/>
              <w:start w:w="100" w:type="dxa"/>
              <w:end w:w="100" w:type="dxa"/>
            </w:tcMar>
            <w:vAlign w:val="top"/>
          </w:tcPr>
          <w:p>
            <w:pPr>
              <w:spacing w:after="0" w:line="240" w:lineRule="auto"/>
              <w:jc w:val="center"/>
            </w:pPr>
            <w:r/>
            <w:r>
              <w:rPr>
                <w:rFonts w:ascii="Arial" w:hAnsi="Arial"/>
                <w:b w:val="0"/>
                <w:sz w:val="12"/>
              </w:rPr>
              <w:t>R$ 2.999,00</w:t>
            </w:r>
          </w:p>
        </w:tc>
        <w:tc>
          <w:tcPr>
            <w:tcW w:type="dxa" w:w="1530"/>
            <w:tcMar>
              <w:top w:w="80" w:type="dxa"/>
              <w:bottom w:w="80" w:type="dxa"/>
              <w:start w:w="100" w:type="dxa"/>
              <w:end w:w="100" w:type="dxa"/>
            </w:tcMar>
            <w:vAlign w:val="top"/>
          </w:tcPr>
          <w:p>
            <w:pPr>
              <w:spacing w:after="0" w:line="240" w:lineRule="auto"/>
              <w:jc w:val="center"/>
            </w:pPr>
            <w:r/>
            <w:r>
              <w:rPr>
                <w:rFonts w:ascii="Arial" w:hAnsi="Arial"/>
                <w:b w:val="0"/>
                <w:sz w:val="12"/>
              </w:rPr>
              <w:t>R$ 269.820.030,00</w:t>
            </w:r>
          </w:p>
        </w:tc>
      </w:tr>
    </w:tbl>
    <w:p/>
    <w:p/>
    <w:p>
      <w:pPr>
        <w:spacing w:after="0"/>
        <w:jc w:val="left"/>
      </w:pPr>
      <w:r>
        <w:rPr>
          <w:rFonts w:ascii="Arial" w:hAnsi="Arial"/>
          <w:sz w:val="20"/>
        </w:rPr>
        <w:t>Mogi Mirim - SP 14 de Julho de 2026</w:t>
      </w:r>
    </w:p>
    <w:p>
      <w:pPr>
        <w:spacing w:after="0"/>
        <w:jc w:val="left"/>
      </w:pPr>
      <w:r>
        <w:rPr>
          <w:rFonts w:ascii="Arial" w:hAnsi="Arial"/>
          <w:sz w:val="20"/>
        </w:rPr>
        <w:t>Goldflex Industria e Comércio de Moveis e Equipamentos LTDA</w:t>
      </w:r>
    </w:p>
    <w:p>
      <w:pPr>
        <w:spacing w:after="0"/>
        <w:jc w:val="left"/>
      </w:pPr>
      <w:r>
        <w:rPr>
          <w:rFonts w:ascii="Arial" w:hAnsi="Arial"/>
          <w:sz w:val="20"/>
        </w:rPr>
        <w:t>CNPJ 33.661.439/0001-14</w:t>
      </w:r>
    </w:p>
    <w:p>
      <w:pPr>
        <w:spacing w:after="0"/>
        <w:jc w:val="left"/>
      </w:pPr>
      <w:r>
        <w:rPr>
          <w:rFonts w:ascii="Arial" w:hAnsi="Arial"/>
          <w:sz w:val="20"/>
        </w:rPr>
        <w:t>Brendon Matheus Batista</w:t>
      </w:r>
    </w:p>
    <w:p>
      <w:pPr>
        <w:spacing w:after="0"/>
        <w:jc w:val="left"/>
      </w:pPr>
      <w:r>
        <w:rPr>
          <w:rFonts w:ascii="Arial" w:hAnsi="Arial"/>
          <w:sz w:val="20"/>
        </w:rPr>
        <w:t>RG 50.630.673-2</w:t>
      </w:r>
    </w:p>
    <w:p>
      <w:pPr>
        <w:spacing w:after="0"/>
        <w:jc w:val="left"/>
      </w:pPr>
      <w:r>
        <w:rPr>
          <w:rFonts w:ascii="Arial" w:hAnsi="Arial"/>
          <w:sz w:val="20"/>
        </w:rPr>
        <w:t>CPF 432.079.848-19</w:t>
      </w:r>
    </w:p>
    <w:sectPr>
      <w:pgSz w:w="11909" w:h="16834"/>
      <w:pgMar w:top="648" w:right="432" w:bottom="648" w:left="43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40E38CAA" w:rsidTr="40E38CAA" w14:paraId="5B9DDC6C">
      <w:trPr>
        <w:trHeight w:val="300"/>
      </w:trPr>
      <w:tc>
        <w:tcPr>
          <w:tcW w:w="3005" w:type="dxa"/>
          <w:tcMar/>
        </w:tcPr>
        <w:p w:rsidR="40E38CAA" w:rsidP="40E38CAA" w:rsidRDefault="40E38CAA" w14:paraId="7872CACE" w14:textId="6F9FC356">
          <w:pPr>
            <w:pStyle w:val="Header"/>
            <w:bidi w:val="0"/>
            <w:ind w:left="-115"/>
            <w:jc w:val="left"/>
          </w:pPr>
        </w:p>
      </w:tc>
      <w:tc>
        <w:tcPr>
          <w:tcW w:w="3005" w:type="dxa"/>
          <w:tcMar/>
        </w:tcPr>
        <w:p w:rsidR="40E38CAA" w:rsidP="40E38CAA" w:rsidRDefault="40E38CAA" w14:paraId="2E43D7A4" w14:textId="14F6C34A">
          <w:pPr>
            <w:pStyle w:val="Header"/>
            <w:bidi w:val="0"/>
            <w:jc w:val="center"/>
          </w:pPr>
        </w:p>
      </w:tc>
      <w:tc>
        <w:tcPr>
          <w:tcW w:w="3005" w:type="dxa"/>
          <w:tcMar/>
        </w:tcPr>
        <w:p w:rsidR="40E38CAA" w:rsidP="40E38CAA" w:rsidRDefault="40E38CAA" w14:paraId="15F58407" w14:textId="79EC9B74">
          <w:pPr>
            <w:pStyle w:val="Header"/>
            <w:bidi w:val="0"/>
            <w:ind w:right="-115"/>
            <w:jc w:val="right"/>
          </w:pPr>
        </w:p>
      </w:tc>
    </w:tr>
  </w:tbl>
  <w:p w:rsidR="40E38CAA" w:rsidP="40E38CAA" w:rsidRDefault="40E38CAA" w14:paraId="01BA770A" w14:textId="51B41B61">
    <w:pPr>
      <w:pStyle w:val="Footer"/>
      <w:bidi w:val="0"/>
    </w:pPr>
  </w:p>
</w:ftr>
</file>

<file path=word/header.xml><?xml version="1.0" encoding="utf-8"?>
<w:hdr xmlns:w14="http://schemas.microsoft.com/office/word/2010/wordml" xmlns:wp="http://schemas.openxmlformats.org/drawingml/2006/wordprocessingDrawing" xmlns:wp14="http://schemas.microsoft.com/office/word/2010/wordprocessingDrawing" xmlns:a="http://schemas.openxmlformats.org/drawingml/2006/main" xmlns:pic="http://schemas.openxmlformats.org/drawingml/2006/picture" xmlns:r="http://schemas.openxmlformats.org/officeDocument/2006/relationships" xmlns:a14="http://schemas.microsoft.com/office/drawing/2010/main" xmlns:w="http://schemas.openxmlformats.org/wordprocessingml/2006/main">
  <w:tbl>
    <w:tblPr>
      <w:tblStyle w:val="TableNormal"/>
      <w:bidiVisual w:val="0"/>
      <w:tblW w:w="9015" w:type="dxa"/>
      <w:tblLook w:val="06A0" w:firstRow="1" w:lastRow="0" w:firstColumn="1" w:lastColumn="0" w:noHBand="1" w:noVBand="1"/>
    </w:tblPr>
    <w:tblGrid>
      <w:gridCol w:w="3005"/>
      <w:gridCol w:w="5640"/>
      <w:gridCol w:w="370"/>
    </w:tblGrid>
    <w:tr w:rsidR="40E38CAA" w:rsidTr="538BAE1D" w14:paraId="0083B618">
      <w:trPr>
        <w:trHeight w:val="300"/>
      </w:trPr>
      <w:tc>
        <w:tcPr>
          <w:tcW w:w="3005" w:type="dxa"/>
          <w:tcMar/>
        </w:tcPr>
        <w:p w:rsidR="40E38CAA" w:rsidP="40E38CAA" w:rsidRDefault="40E38CAA" w14:paraId="5006BC49" w14:textId="72038CDB">
          <w:pPr>
            <w:pStyle w:val="Header"/>
            <w:ind w:left="-115"/>
            <w:jc w:val="left"/>
            <w:rPr>
              <w:rFonts w:ascii="Aptos" w:hAnsi="Aptos" w:eastAsia="Aptos" w:cs="Aptos"/>
              <w:noProof w:val="0"/>
              <w:sz w:val="24"/>
              <w:szCs w:val="24"/>
              <w:lang w:val="pt-BR"/>
            </w:rPr>
          </w:pPr>
          <w:r w:rsidR="40E38CAA">
            <w:drawing>
              <wp:inline wp14:editId="232E82F7" wp14:anchorId="427295C4">
                <wp:extent cx="1705811" cy="628650"/>
                <wp:effectExtent l="0" t="0" r="0" b="0"/>
                <wp:docPr id="125630205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434086354" name="Picture 1434086354"/>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305294928">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1705811" cy="628650"/>
                        </a:xfrm>
                        <a:prstGeom xmlns:a="http://schemas.openxmlformats.org/drawingml/2006/main" prst="rect">
                          <a:avLst xmlns:a="http://schemas.openxmlformats.org/drawingml/2006/main"/>
                        </a:prstGeom>
                      </pic:spPr>
                    </pic:pic>
                  </a:graphicData>
                </a:graphic>
              </wp:inline>
            </w:drawing>
          </w:r>
        </w:p>
      </w:tc>
      <w:tc>
        <w:tcPr>
          <w:tcW w:w="5640" w:type="dxa"/>
          <w:tcMar/>
        </w:tcPr>
        <w:p w:rsidR="40E38CAA" w:rsidP="40E38CAA" w:rsidRDefault="40E38CAA" w14:paraId="00125CF6" w14:textId="7A109809">
          <w:pPr>
            <w:pStyle w:val="Header"/>
            <w:jc w:val="center"/>
            <w:rPr>
              <w:rFonts w:ascii="Aptos" w:hAnsi="Aptos" w:eastAsia="Aptos" w:cs="Aptos"/>
              <w:noProof w:val="0"/>
              <w:sz w:val="24"/>
              <w:szCs w:val="24"/>
              <w:lang w:val="pt-BR"/>
            </w:rPr>
          </w:pPr>
          <w:r w:rsidRPr="538BAE1D" w:rsidR="538BAE1D">
            <w:rPr>
              <w:rFonts w:ascii="Aptos" w:hAnsi="Aptos" w:eastAsia="Aptos" w:cs="Aptos"/>
              <w:noProof w:val="0"/>
              <w:sz w:val="24"/>
              <w:szCs w:val="24"/>
              <w:lang w:val="pt-BR"/>
            </w:rPr>
            <w:t xml:space="preserve">GOLDFLEX INDUSTRIA E COMERCIO DE MOVEIS E EQUIPAMENTOS LTDA CNPJ 33.661.439/0001-14 </w:t>
          </w:r>
          <w:r>
            <w:br/>
          </w:r>
          <w:r w:rsidRPr="538BAE1D" w:rsidR="538BAE1D">
            <w:rPr>
              <w:rFonts w:ascii="Aptos" w:hAnsi="Aptos" w:eastAsia="Aptos" w:cs="Aptos"/>
              <w:noProof w:val="0"/>
              <w:sz w:val="24"/>
              <w:szCs w:val="24"/>
              <w:lang w:val="pt-BR"/>
            </w:rPr>
            <w:t xml:space="preserve">R: Eça de Queiroz, 199 Loteamento Linda </w:t>
          </w:r>
          <w:r w:rsidRPr="538BAE1D" w:rsidR="538BAE1D">
            <w:rPr>
              <w:rFonts w:ascii="Aptos" w:hAnsi="Aptos" w:eastAsia="Aptos" w:cs="Aptos"/>
              <w:noProof w:val="0"/>
              <w:sz w:val="24"/>
              <w:szCs w:val="24"/>
              <w:lang w:val="pt-BR"/>
            </w:rPr>
            <w:t>Chaib</w:t>
          </w:r>
          <w:r w:rsidRPr="538BAE1D" w:rsidR="538BAE1D">
            <w:rPr>
              <w:rFonts w:ascii="Aptos" w:hAnsi="Aptos" w:eastAsia="Aptos" w:cs="Aptos"/>
              <w:noProof w:val="0"/>
              <w:sz w:val="24"/>
              <w:szCs w:val="24"/>
              <w:lang w:val="pt-BR"/>
            </w:rPr>
            <w:t xml:space="preserve"> Mogi Mirim - SP CEP: 13.802-450</w:t>
          </w:r>
          <w:r>
            <w:br/>
          </w:r>
          <w:r w:rsidRPr="538BAE1D" w:rsidR="538BAE1D">
            <w:rPr>
              <w:rFonts w:ascii="Aptos" w:hAnsi="Aptos" w:eastAsia="Aptos" w:cs="Aptos"/>
              <w:noProof w:val="0"/>
              <w:sz w:val="24"/>
              <w:szCs w:val="24"/>
              <w:lang w:val="pt-BR"/>
            </w:rPr>
            <w:t xml:space="preserve"> </w:t>
          </w:r>
          <w:r w:rsidRPr="538BAE1D" w:rsidR="538BAE1D">
            <w:rPr>
              <w:rFonts w:ascii="Aptos" w:hAnsi="Aptos" w:eastAsia="Aptos" w:cs="Aptos"/>
              <w:noProof w:val="0"/>
              <w:sz w:val="24"/>
              <w:szCs w:val="24"/>
              <w:lang w:val="pt-BR"/>
            </w:rPr>
            <w:t>Cel</w:t>
          </w:r>
          <w:r w:rsidRPr="538BAE1D" w:rsidR="538BAE1D">
            <w:rPr>
              <w:rFonts w:ascii="Aptos" w:hAnsi="Aptos" w:eastAsia="Aptos" w:cs="Aptos"/>
              <w:noProof w:val="0"/>
              <w:sz w:val="24"/>
              <w:szCs w:val="24"/>
              <w:lang w:val="pt-BR"/>
            </w:rPr>
            <w:t xml:space="preserve">: (19)97126-6023 </w:t>
          </w:r>
          <w:r>
            <w:br/>
          </w:r>
          <w:r w:rsidRPr="538BAE1D" w:rsidR="538BAE1D">
            <w:rPr>
              <w:rFonts w:ascii="Aptos" w:hAnsi="Aptos" w:eastAsia="Aptos" w:cs="Aptos"/>
              <w:noProof w:val="0"/>
              <w:sz w:val="24"/>
              <w:szCs w:val="24"/>
              <w:lang w:val="pt-BR"/>
            </w:rPr>
            <w:t xml:space="preserve">e-mail: </w:t>
          </w:r>
          <w:hyperlink r:id="R89ec71ba44d4443a">
            <w:r w:rsidRPr="538BAE1D" w:rsidR="538BAE1D">
              <w:rPr>
                <w:rStyle w:val="Hyperlink"/>
                <w:noProof w:val="0"/>
                <w:lang w:val="pt-BR"/>
              </w:rPr>
              <w:t>licitagoldflex@gmail.com</w:t>
            </w:r>
          </w:hyperlink>
          <w:r>
            <w:br/>
          </w:r>
          <w:r>
            <w:br/>
          </w:r>
        </w:p>
      </w:tc>
      <w:tc>
        <w:tcPr>
          <w:tcW w:w="370" w:type="dxa"/>
          <w:tcMar/>
        </w:tcPr>
        <w:p w:rsidR="40E38CAA" w:rsidP="40E38CAA" w:rsidRDefault="40E38CAA" w14:paraId="48B842BB" w14:textId="7414F1DF">
          <w:pPr>
            <w:pStyle w:val="Header"/>
            <w:bidi w:val="0"/>
            <w:ind w:right="-115"/>
            <w:jc w:val="right"/>
          </w:pPr>
        </w:p>
      </w:tc>
    </w:tr>
  </w:tbl>
  <w:p w:rsidR="40E38CAA" w:rsidP="40E38CAA" w:rsidRDefault="40E38CAA" w14:paraId="4B4759D4" w14:textId="05C58022">
    <w:pPr>
      <w:pStyle w:val="Header"/>
      <w:bidi w:val="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7C9E27E"/>
    <w:rsid w:val="07F58860"/>
    <w:rsid w:val="0BA415B5"/>
    <w:rsid w:val="175F284B"/>
    <w:rsid w:val="20197802"/>
    <w:rsid w:val="24CBCA7C"/>
    <w:rsid w:val="2C112DF3"/>
    <w:rsid w:val="2E2350B9"/>
    <w:rsid w:val="3C4C501F"/>
    <w:rsid w:val="40E0E102"/>
    <w:rsid w:val="40E38CAA"/>
    <w:rsid w:val="5024D837"/>
    <w:rsid w:val="538BAE1D"/>
    <w:rsid w:val="5B0A8107"/>
    <w:rsid w:val="612935F5"/>
    <w:rsid w:val="61E4B379"/>
    <w:rsid w:val="731756D3"/>
    <w:rsid w:val="741EE69F"/>
    <w:rsid w:val="77C9E27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EC27D2"/>
  <w15:chartTrackingRefBased/>
  <w15:docId w15:val="{52D8CFE6-BDD9-44D2-8748-12FB0A830D2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pt-B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uiPriority w:val="99"/>
    <w:name w:val="Hyperlink"/>
    <w:basedOn w:val="DefaultParagraphFont"/>
    <w:unhideWhenUsed/>
    <w:rsid w:val="40E38CAA"/>
    <w:rPr>
      <w:color w:val="467886"/>
      <w:u w:val="single"/>
    </w:rPr>
  </w:style>
  <w:style w:type="paragraph" w:styleId="Header">
    <w:uiPriority w:val="99"/>
    <w:name w:val="header"/>
    <w:basedOn w:val="Normal"/>
    <w:unhideWhenUsed/>
    <w:rsid w:val="40E38CAA"/>
    <w:pPr>
      <w:tabs>
        <w:tab w:val="center" w:leader="none" w:pos="4680"/>
        <w:tab w:val="right" w:leader="none" w:pos="9360"/>
      </w:tabs>
      <w:spacing w:after="0" w:line="240" w:lineRule="auto"/>
    </w:pPr>
  </w:style>
  <w:style w:type="paragraph" w:styleId="Footer">
    <w:uiPriority w:val="99"/>
    <w:name w:val="footer"/>
    <w:basedOn w:val="Normal"/>
    <w:unhideWhenUsed/>
    <w:rsid w:val="40E38CAA"/>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00d452cb0068419b" Type="http://schemas.openxmlformats.org/officeDocument/2006/relationships/header" Target="header.xml"/><Relationship Id="Re0650d59ca3d4755" Type="http://schemas.openxmlformats.org/officeDocument/2006/relationships/footer" Target="footer.xml"/></Relationships>
</file>

<file path=word/_rels/header.xml.rels><?xml version='1.0' encoding='UTF-8' standalone='yes'?>
<Relationships xmlns="http://schemas.openxmlformats.org/package/2006/relationships"><Relationship Id="rId305294928" Type="http://schemas.openxmlformats.org/officeDocument/2006/relationships/image" Target="../media/image.png"/><Relationship Id="R89ec71ba44d4443a" Type="http://schemas.openxmlformats.org/officeDocument/2006/relationships/hyperlink" Target="mailto:licitagoldflex@gmail.com" TargetMode="External"/></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2026-07-14T18:18:19.5779928Z</dcterms:created>
  <dcterms:modified xsi:type="dcterms:W3CDTF">2026-07-14T18:56:17.0773401Z</dcterms:modified>
  <dc:creator>Eduardo Cordeiro</dc:creator>
  <lastModifiedBy>Eduardo Cordeiro</lastModifiedBy>
</coreProperties>
</file>