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PROPOSTA FINAL</w:t>
      </w:r>
    </w:p>
    <w:p/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Style w:val="TableGrid"/>
        <w:tblW w:type="dxa" w:w="10880"/>
        <w:jc w:val="center"/>
        <w:tblLayout w:type="fixed"/>
        <w:tblLook w:firstColumn="1" w:firstRow="1" w:lastColumn="0" w:lastRow="0" w:noHBand="0" w:noVBand="1" w:val="04A0"/>
      </w:tblPr>
      <w:tblGrid>
        <w:gridCol w:w="1578"/>
        <w:gridCol w:w="1578"/>
        <w:gridCol w:w="1578"/>
        <w:gridCol w:w="1578"/>
        <w:gridCol w:w="1578"/>
        <w:gridCol w:w="1578"/>
        <w:gridCol w:w="1578"/>
      </w:tblGrid>
      <w:tr>
        <w:trPr>
          <w:tblHeader w:val="true"/>
        </w:trP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ITEM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QTD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UN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DESCRIÇÃO.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MARCA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VALOR UNITÁRIO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VALOR TOTAL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2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Item de teste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R$ 10,00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R$ 20,00</w:t>
            </w:r>
          </w:p>
        </w:tc>
      </w:tr>
    </w:tbl>
    <w:p/>
    <w:p/>
    <w:p>
      <w:pPr>
        <w:spacing w:after="0"/>
        <w:jc w:val="left"/>
      </w:pPr>
      <w:r>
        <w:rPr>
          <w:rFonts w:ascii="Arial" w:hAnsi="Arial"/>
          <w:sz w:val="20"/>
        </w:rPr>
        <w:t>Mogi Mirim - SP 14 de Julho de 2026</w:t>
      </w:r>
    </w:p>
    <w:p>
      <w:pPr>
        <w:spacing w:after="0"/>
        <w:jc w:val="left"/>
      </w:pPr>
      <w:r>
        <w:rPr>
          <w:rFonts w:ascii="Arial" w:hAnsi="Arial"/>
          <w:sz w:val="20"/>
        </w:rPr>
        <w:t>Goldflex Industria e Comércio de Moveis e Equipamentos LTDA</w:t>
      </w:r>
    </w:p>
    <w:p>
      <w:pPr>
        <w:spacing w:after="0"/>
        <w:jc w:val="left"/>
      </w:pPr>
      <w:r>
        <w:rPr>
          <w:rFonts w:ascii="Arial" w:hAnsi="Arial"/>
          <w:sz w:val="20"/>
        </w:rPr>
        <w:t>CNPJ 33.661.439/0001-14</w:t>
      </w:r>
    </w:p>
    <w:p>
      <w:pPr>
        <w:spacing w:after="0"/>
        <w:jc w:val="left"/>
      </w:pPr>
      <w:r>
        <w:rPr>
          <w:rFonts w:ascii="Arial" w:hAnsi="Arial"/>
          <w:sz w:val="20"/>
        </w:rPr>
        <w:t>Brendon Matheus Batista</w:t>
      </w:r>
    </w:p>
    <w:p>
      <w:pPr>
        <w:spacing w:after="0"/>
        <w:jc w:val="left"/>
      </w:pPr>
      <w:r>
        <w:rPr>
          <w:rFonts w:ascii="Arial" w:hAnsi="Arial"/>
          <w:sz w:val="20"/>
        </w:rPr>
        <w:t>RG 50.630.673-2</w:t>
      </w:r>
    </w:p>
    <w:p>
      <w:pPr>
        <w:spacing w:after="0"/>
        <w:jc w:val="left"/>
      </w:pPr>
      <w:r>
        <w:rPr>
          <w:rFonts w:ascii="Arial" w:hAnsi="Arial"/>
          <w:sz w:val="20"/>
        </w:rPr>
        <w:t>CPF 432.079.848-19</w:t>
      </w:r>
    </w:p>
    <w:sectPr w:rsidR="00FC693F" w:rsidRPr="0006063C" w:rsidSect="00034616">
      <w:pgSz w:w="11909" w:h="16834"/>
      <w:pgMar w:top="648" w:right="432" w:bottom="648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