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0" w:after="480"/>
        <w:jc w:val="center"/>
      </w:pPr>
      <w:r>
        <w:rPr>
          <w:b/>
          <w:bCs/>
          <w:color w:val="1F4E79"/>
          <w:sz w:val="72"/>
          <w:szCs w:val="72"/>
        </w:rPr>
        <w:t xml:space="preserve">ƯỚC LƯỢNG CHI PHÍ</w:t>
      </w:r>
    </w:p>
    <w:p>
      <w:pPr>
        <w:jc w:val="center"/>
      </w:pPr>
      <w:r>
        <w:rPr>
          <w:b/>
          <w:bCs/>
          <w:sz w:val="32"/>
          <w:szCs w:val="32"/>
        </w:rPr>
        <w:t xml:space="preserve">Azure DocumentDB cho hệ thống RFID</w:t>
      </w:r>
    </w:p>
    <w:p>
      <w:pPr>
        <w:jc w:val="center"/>
      </w:pPr>
      <w:r>
        <w:rPr>
          <w:color w:val="666666"/>
          <w:sz w:val="22"/>
          <w:szCs w:val="22"/>
        </w:rPr>
        <w:t xml:space="preserve">100.000 event/ngày · retention 14 ngày</w:t>
      </w:r>
    </w:p>
    <w:p>
      <w:pPr>
        <w:pageBreakBefore/>
      </w:pPr>
      <w:r>
        <w:t xml:space="preserve"> </w:t>
      </w:r>
    </w:p>
    <w:p>
      <w:pPr>
        <w:pStyle w:val="TOC1"/>
        <w:tabs>
          <w:tab w:val="right" w:leader="dot" w:pos="9350"/>
        </w:tabs>
        <w:rPr>
          <w:noProof/>
        </w:rPr>
      </w:pPr>
      <w:r>
        <w:fldChar w:fldCharType="begin" w:dirty="true"/>
      </w:r>
      <w:r>
        <w:instrText xml:space="preserve"> TOC \o "1-2" \h \z \u </w:instrText>
      </w:r>
      <w:r>
        <w:fldChar w:fldCharType="separate"/>
      </w:r>
      <w:r>
        <w:rPr>
          <w:noProof/>
        </w:rPr>
        <w:t xml:space="preserve">1. Bối cảnh và phạm vi</w:t>
      </w:r>
      <w:r>
        <w:rPr>
          <w:noProof/>
        </w:rPr>
        <w:tab/>
      </w:r>
    </w:p>
    <w:p>
      <w:pPr>
        <w:pStyle w:val="TOC2"/>
        <w:tabs>
          <w:tab w:val="right" w:leader="dot" w:pos="9350"/>
        </w:tabs>
        <w:rPr>
          <w:noProof/>
        </w:rPr>
      </w:pPr>
      <w:r>
        <w:rPr>
          <w:noProof/>
        </w:rPr>
        <w:t xml:space="preserve">1.1. Đặc điểm workload</w:t>
      </w:r>
      <w:r>
        <w:rPr>
          <w:noProof/>
        </w:rPr>
        <w:tab/>
      </w:r>
    </w:p>
    <w:p>
      <w:pPr>
        <w:pStyle w:val="TOC1"/>
        <w:tabs>
          <w:tab w:val="right" w:leader="dot" w:pos="9350"/>
        </w:tabs>
        <w:rPr>
          <w:noProof/>
        </w:rPr>
      </w:pPr>
      <w:r>
        <w:rPr>
          <w:noProof/>
        </w:rPr>
        <w:t xml:space="preserve">2. Cách Azure DocumentDB tính phí</w:t>
      </w:r>
      <w:r>
        <w:rPr>
          <w:noProof/>
        </w:rPr>
        <w:tab/>
      </w:r>
    </w:p>
    <w:p>
      <w:pPr>
        <w:pStyle w:val="TOC1"/>
        <w:tabs>
          <w:tab w:val="right" w:leader="dot" w:pos="9350"/>
        </w:tabs>
        <w:rPr>
          <w:noProof/>
        </w:rPr>
      </w:pPr>
      <w:r>
        <w:rPr>
          <w:noProof/>
        </w:rPr>
        <w:t xml:space="preserve">3. Quy đổi 100.000 record/ngày thành dung lượng</w:t>
      </w:r>
      <w:r>
        <w:rPr>
          <w:noProof/>
        </w:rPr>
        <w:tab/>
      </w:r>
    </w:p>
    <w:p>
      <w:pPr>
        <w:pStyle w:val="TOC2"/>
        <w:tabs>
          <w:tab w:val="right" w:leader="dot" w:pos="9350"/>
        </w:tabs>
        <w:rPr>
          <w:noProof/>
        </w:rPr>
      </w:pPr>
      <w:r>
        <w:rPr>
          <w:noProof/>
        </w:rPr>
        <w:t xml:space="preserve">3.1. Những yếu tố làm kích thước tăng</w:t>
      </w:r>
      <w:r>
        <w:rPr>
          <w:noProof/>
        </w:rPr>
        <w:tab/>
      </w:r>
    </w:p>
    <w:p>
      <w:pPr>
        <w:pStyle w:val="TOC1"/>
        <w:tabs>
          <w:tab w:val="right" w:leader="dot" w:pos="9350"/>
        </w:tabs>
        <w:rPr>
          <w:noProof/>
        </w:rPr>
      </w:pPr>
      <w:r>
        <w:rPr>
          <w:noProof/>
        </w:rPr>
        <w:t xml:space="preserve">4. So sánh các lựa chọn triển khai</w:t>
      </w:r>
      <w:r>
        <w:rPr>
          <w:noProof/>
        </w:rPr>
        <w:tab/>
      </w:r>
    </w:p>
    <w:p>
      <w:pPr>
        <w:pStyle w:val="TOC2"/>
        <w:tabs>
          <w:tab w:val="right" w:leader="dot" w:pos="9350"/>
        </w:tabs>
        <w:rPr>
          <w:noProof/>
        </w:rPr>
      </w:pPr>
      <w:r>
        <w:rPr>
          <w:noProof/>
        </w:rPr>
        <w:t xml:space="preserve">4.1. Vì sao M30 tăng giá mạnh</w:t>
      </w:r>
      <w:r>
        <w:rPr>
          <w:noProof/>
        </w:rPr>
        <w:tab/>
      </w:r>
    </w:p>
    <w:p>
      <w:pPr>
        <w:pStyle w:val="TOC1"/>
        <w:tabs>
          <w:tab w:val="right" w:leader="dot" w:pos="9350"/>
        </w:tabs>
        <w:rPr>
          <w:noProof/>
        </w:rPr>
      </w:pPr>
      <w:r>
        <w:rPr>
          <w:noProof/>
        </w:rPr>
        <w:t xml:space="preserve">5. Khuyến nghị cấu hình production ban đầu</w:t>
      </w:r>
      <w:r>
        <w:rPr>
          <w:noProof/>
        </w:rPr>
        <w:tab/>
      </w:r>
    </w:p>
    <w:p>
      <w:pPr>
        <w:pStyle w:val="TOC2"/>
        <w:tabs>
          <w:tab w:val="right" w:leader="dot" w:pos="9350"/>
        </w:tabs>
        <w:rPr>
          <w:noProof/>
        </w:rPr>
      </w:pPr>
      <w:r>
        <w:rPr>
          <w:noProof/>
        </w:rPr>
        <w:t xml:space="preserve">5.1. Điều kiện để M10 + 32 GiB là đủ</w:t>
      </w:r>
      <w:r>
        <w:rPr>
          <w:noProof/>
        </w:rPr>
        <w:tab/>
      </w:r>
    </w:p>
    <w:p>
      <w:pPr>
        <w:pStyle w:val="TOC2"/>
        <w:tabs>
          <w:tab w:val="right" w:leader="dot" w:pos="9350"/>
        </w:tabs>
        <w:rPr>
          <w:noProof/>
        </w:rPr>
      </w:pPr>
      <w:r>
        <w:rPr>
          <w:noProof/>
        </w:rPr>
        <w:t xml:space="preserve">5.2. Khi nào nâng lên M20</w:t>
      </w:r>
      <w:r>
        <w:rPr>
          <w:noProof/>
        </w:rPr>
        <w:tab/>
      </w:r>
    </w:p>
    <w:p>
      <w:pPr>
        <w:pStyle w:val="TOC1"/>
        <w:tabs>
          <w:tab w:val="right" w:leader="dot" w:pos="9350"/>
        </w:tabs>
        <w:rPr>
          <w:noProof/>
        </w:rPr>
      </w:pPr>
      <w:r>
        <w:rPr>
          <w:noProof/>
        </w:rPr>
        <w:t xml:space="preserve">6. Retention, TTL và tối ưu chi phí</w:t>
      </w:r>
      <w:r>
        <w:rPr>
          <w:noProof/>
        </w:rPr>
        <w:tab/>
      </w:r>
    </w:p>
    <w:p>
      <w:pPr>
        <w:pStyle w:val="TOC1"/>
        <w:tabs>
          <w:tab w:val="right" w:leader="dot" w:pos="9350"/>
        </w:tabs>
        <w:rPr>
          <w:noProof/>
        </w:rPr>
      </w:pPr>
      <w:r>
        <w:rPr>
          <w:noProof/>
        </w:rPr>
        <w:t xml:space="preserve">7. Kế hoạch xác nhận trước khi go-live</w:t>
      </w:r>
      <w:r>
        <w:rPr>
          <w:noProof/>
        </w:rPr>
        <w:tab/>
      </w:r>
    </w:p>
    <w:p>
      <w:pPr>
        <w:pStyle w:val="TOC1"/>
        <w:tabs>
          <w:tab w:val="right" w:leader="dot" w:pos="9350"/>
        </w:tabs>
        <w:rPr>
          <w:noProof/>
        </w:rPr>
      </w:pPr>
      <w:r>
        <w:rPr>
          <w:noProof/>
        </w:rPr>
        <w:t xml:space="preserve">8. Kết luận</w:t>
      </w:r>
      <w:r>
        <w:rPr>
          <w:noProof/>
        </w:rPr>
        <w:tab/>
      </w:r>
    </w:p>
    <w:p>
      <w:pPr>
        <w:pStyle w:val="TOC1"/>
        <w:tabs>
          <w:tab w:val="right" w:leader="dot" w:pos="9350"/>
        </w:tabs>
        <w:rPr>
          <w:noProof/>
        </w:rPr>
      </w:pPr>
      <w:r>
        <w:rPr>
          <w:noProof/>
        </w:rPr>
        <w:t xml:space="preserve">Phụ lục A. Nguồn tham chiếu</w:t>
      </w:r>
      <w:r>
        <w:rPr>
          <w:noProof/>
        </w:rPr>
        <w:tab/>
      </w:r>
      <w:r>
        <w:fldChar w:fldCharType="end"/>
      </w:r>
    </w:p>
    <w:p>
      <w:pPr>
        <w:pageBreakBefore/>
        <w:spacing w:before="280" w:after="80"/>
      </w:pPr>
      <w:r>
        <w:rPr>
          <w:rFonts w:ascii="Calibri" w:hAnsi="Calibri"/>
          <w:b/>
          <w:color w:val="2E74B5"/>
          <w:sz w:val="22"/>
        </w:rPr>
        <w:t xml:space="preserve">ƯỚC LƯỢNG CHI PHÍ</w:t>
      </w:r>
    </w:p>
    <w:p>
      <w:pPr>
        <w:spacing w:after="80"/>
      </w:pPr>
      <w:r>
        <w:rPr>
          <w:rFonts w:ascii="Calibri" w:hAnsi="Calibri"/>
          <w:b/>
          <w:color w:val="0B2545"/>
          <w:sz w:val="46"/>
        </w:rPr>
        <w:t>Azure DocumentDB cho hệ thống RFID</w:t>
      </w:r>
    </w:p>
    <w:p>
      <w:pPr>
        <w:spacing w:after="320"/>
      </w:pPr>
      <w:r>
        <w:rPr>
          <w:rFonts w:ascii="Calibri" w:hAnsi="Calibri"/>
          <w:color w:val="666666"/>
          <w:sz w:val="28"/>
        </w:rPr>
        <w:t>Khối lượng 100.000 event/ngày, retention 14 ngày</w:t>
      </w:r>
    </w:p>
    <w:tbl>
      <w:tblPr>
        <w:tblW w:type="dxa" w:w="9360"/>
        <w:jc w:val="left"/>
        <w:tblLayout w:type="fixed"/>
        <w:tblLook w:firstColumn="1" w:firstRow="1" w:lastColumn="0" w:lastRow="0" w:noHBand="0" w:noVBand="1" w:val="04A0"/>
        <w:tblInd w:w="120" w:type="dxa"/>
      </w:tblPr>
      <w:tblGrid>
        <w:gridCol w:w="1800"/>
        <w:gridCol w:w="7560"/>
      </w:tblGrid>
      <w:tr>
        <w:tc>
          <w:tcPr>
            <w:tcW w:type="dxa" w:w="1800"/>
            <w:tcMar>
              <w:top w:w="80" w:type="dxa"/>
              <w:start w:w="120" w:type="dxa"/>
              <w:bottom w:w="80" w:type="dxa"/>
              <w:end w:w="120" w:type="dxa"/>
            </w:tcMar>
            <w:vAlign w:val="center"/>
            <w:shd w:fill="F2F4F7"/>
          </w:tcPr>
          <w:p>
            <w:pPr>
              <w:spacing w:after="0"/>
            </w:pPr>
            <w:r>
              <w:rPr>
                <w:rFonts w:ascii="Calibri" w:hAnsi="Calibri"/>
                <w:b/>
                <w:color w:val="0B2545"/>
                <w:sz w:val="20"/>
              </w:rPr>
              <w:t>Mục tiêu</w:t>
            </w:r>
          </w:p>
        </w:tc>
        <w:tc>
          <w:tcPr>
            <w:tcW w:type="dxa" w:w="7560"/>
            <w:tcMar>
              <w:top w:w="80" w:type="dxa"/>
              <w:start w:w="120" w:type="dxa"/>
              <w:bottom w:w="80" w:type="dxa"/>
              <w:end w:w="120" w:type="dxa"/>
            </w:tcMar>
            <w:vAlign w:val="center"/>
          </w:tcPr>
          <w:p>
            <w:pPr>
              <w:spacing w:after="0"/>
            </w:pPr>
            <w:r>
              <w:rPr>
                <w:rFonts w:ascii="Calibri" w:hAnsi="Calibri"/>
                <w:sz w:val="20"/>
              </w:rPr>
              <w:t>Xác định cấu hình Azure DocumentDB tối thiểu và chi phí phù hợp để chạy production.</w:t>
            </w:r>
          </w:p>
        </w:tc>
      </w:tr>
      <w:tr>
        <w:tc>
          <w:tcPr>
            <w:tcW w:type="dxa" w:w="1800"/>
            <w:tcMar>
              <w:top w:w="80" w:type="dxa"/>
              <w:start w:w="120" w:type="dxa"/>
              <w:bottom w:w="80" w:type="dxa"/>
              <w:end w:w="120" w:type="dxa"/>
            </w:tcMar>
            <w:vAlign w:val="center"/>
            <w:shd w:fill="F2F4F7"/>
          </w:tcPr>
          <w:p>
            <w:pPr>
              <w:spacing w:after="0"/>
            </w:pPr>
            <w:r>
              <w:rPr>
                <w:rFonts w:ascii="Calibri" w:hAnsi="Calibri"/>
                <w:b/>
                <w:color w:val="0B2545"/>
                <w:sz w:val="20"/>
              </w:rPr>
              <w:t>Dữ liệu đầu vào</w:t>
            </w:r>
          </w:p>
        </w:tc>
        <w:tc>
          <w:tcPr>
            <w:tcW w:type="dxa" w:w="7560"/>
            <w:tcMar>
              <w:top w:w="80" w:type="dxa"/>
              <w:start w:w="120" w:type="dxa"/>
              <w:bottom w:w="80" w:type="dxa"/>
              <w:end w:w="120" w:type="dxa"/>
            </w:tcMar>
            <w:vAlign w:val="center"/>
          </w:tcPr>
          <w:p>
            <w:pPr>
              <w:spacing w:after="0"/>
            </w:pPr>
            <w:r>
              <w:rPr>
                <w:rFonts w:ascii="Calibri" w:hAnsi="Calibri"/>
                <w:sz w:val="20"/>
              </w:rPr>
              <w:t>Schema “Device Event History - MongoDB Schema V1”; raw event append-only, có rawPayload và nhiều index truy vấn.</w:t>
            </w:r>
          </w:p>
        </w:tc>
      </w:tr>
      <w:tr>
        <w:tc>
          <w:tcPr>
            <w:tcW w:type="dxa" w:w="1800"/>
            <w:tcMar>
              <w:top w:w="80" w:type="dxa"/>
              <w:start w:w="120" w:type="dxa"/>
              <w:bottom w:w="80" w:type="dxa"/>
              <w:end w:w="120" w:type="dxa"/>
            </w:tcMar>
            <w:vAlign w:val="center"/>
            <w:shd w:fill="F2F4F7"/>
          </w:tcPr>
          <w:p>
            <w:pPr>
              <w:spacing w:after="0"/>
            </w:pPr>
            <w:r>
              <w:rPr>
                <w:rFonts w:ascii="Calibri" w:hAnsi="Calibri"/>
                <w:b/>
                <w:color w:val="0B2545"/>
                <w:sz w:val="20"/>
              </w:rPr>
              <w:t>Kết luận ngắn</w:t>
            </w:r>
          </w:p>
        </w:tc>
        <w:tc>
          <w:tcPr>
            <w:tcW w:type="dxa" w:w="7560"/>
            <w:tcMar>
              <w:top w:w="80" w:type="dxa"/>
              <w:start w:w="120" w:type="dxa"/>
              <w:bottom w:w="80" w:type="dxa"/>
              <w:end w:w="120" w:type="dxa"/>
            </w:tcMar>
            <w:vAlign w:val="center"/>
          </w:tcPr>
          <w:p>
            <w:pPr>
              <w:spacing w:after="0"/>
            </w:pPr>
            <w:r>
              <w:rPr>
                <w:rFonts w:ascii="Calibri" w:hAnsi="Calibri"/>
                <w:sz w:val="20"/>
              </w:rPr>
              <w:t>M10 + 32 GiB là điểm bắt đầu hợp lý; Free Tier chỉ phù hợp dev/demo.</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40"/>
            </w:pPr>
            <w:r>
              <w:rPr>
                <w:rFonts w:ascii="Calibri" w:hAnsi="Calibri"/>
                <w:b/>
                <w:color w:val="1F4D78"/>
                <w:sz w:val="22"/>
              </w:rPr>
              <w:t>Khuyến nghị quyết định</w:t>
            </w:r>
          </w:p>
          <w:p>
            <w:pPr>
              <w:spacing w:after="40" w:line="264" w:lineRule="auto"/>
            </w:pPr>
            <w:r>
              <w:rPr>
                <w:rFonts w:ascii="Calibri" w:hAnsi="Calibri"/>
                <w:sz w:val="21"/>
              </w:rPr>
              <w:t>Dùng M10 + 32 GiB, không HA cho production giai đoạn đầu nếu có backup/monitoring vận hành riêng. Chỉ nâng M20 khi benchmark cho thấy burst ghi, truy vấn timeline hoặc aggregation làm tài nguyên/độ trễ vượt ngưỡng. Không dùng Free Tier làm production chính.</w:t>
            </w:r>
          </w:p>
        </w:tc>
      </w:tr>
    </w:tbl>
    <w:p>
      <w:pPr>
        <w:spacing w:after="40"/>
      </w:pPr>
    </w:p>
    <w:p>
      <w:pPr>
        <w:pStyle w:val="Heading1"/>
      </w:pPr>
      <w:r>
        <w:t>1. Bối cảnh và phạm vi</w:t>
      </w:r>
    </w:p>
    <w:p>
      <w:pPr>
        <w:spacing w:before="0" w:after="120" w:line="264" w:lineRule="auto"/>
      </w:pPr>
      <w:r>
        <w:rPr>
          <w:rFonts w:ascii="Calibri" w:hAnsi="Calibri"/>
          <w:i w:val="0"/>
          <w:sz w:val="22"/>
        </w:rPr>
        <w:t>Hệ thống lưu lịch sử đọc thẻ RFID, business event, trạng thái thiết bị, lỗi kết nối và lỗi ingestion. Collection chính device_event_history là source of truth, lưu cả rawPayload và facts đã parse; các collection trạng thái/tổng hợp có thể dựng lại từ lịch sử.</w:t>
      </w:r>
    </w:p>
    <w:p>
      <w:pPr>
        <w:spacing w:before="0" w:after="120" w:line="264" w:lineRule="auto"/>
      </w:pPr>
      <w:r>
        <w:rPr>
          <w:rFonts w:ascii="Calibri" w:hAnsi="Calibri"/>
          <w:i w:val="0"/>
          <w:sz w:val="22"/>
        </w:rPr>
        <w:t>Tài liệu này chỉ ước lượng chi phí database Azure DocumentDB (MongoDB compatibility). Không bao gồm chi phí Worker/VM/Container Apps, Azure Monitor, Private Endpoint/VNet, hoặc data egress Internet nếu có.</w:t>
      </w:r>
    </w:p>
    <w:p>
      <w:pPr>
        <w:pStyle w:val="Heading2"/>
      </w:pPr>
      <w:r>
        <w:t>1.1. Đặc điểm workload</w:t>
      </w:r>
    </w:p>
    <w:p>
      <w:pPr>
        <w:pStyle w:val="ListBullet"/>
        <w:spacing w:after="80" w:line="280" w:lineRule="auto"/>
      </w:pPr>
      <w:r>
        <w:rPr>
          <w:rFonts w:ascii="Calibri" w:hAnsi="Calibri"/>
          <w:sz w:val="22"/>
        </w:rPr>
        <w:t>Ghi append-only, một record nguồn tương ứng một document.</w:t>
      </w:r>
    </w:p>
    <w:p>
      <w:pPr>
        <w:pStyle w:val="ListBullet"/>
        <w:spacing w:after="80" w:line="280" w:lineRule="auto"/>
      </w:pPr>
      <w:r>
        <w:rPr>
          <w:rFonts w:ascii="Calibri" w:hAnsi="Calibri"/>
          <w:sz w:val="22"/>
        </w:rPr>
        <w:t>Truy vấn phổ biến theo thời gian, device, gate, tag, category và parse status.</w:t>
      </w:r>
    </w:p>
    <w:p>
      <w:pPr>
        <w:pStyle w:val="ListBullet"/>
        <w:spacing w:after="80" w:line="280" w:lineRule="auto"/>
      </w:pPr>
      <w:r>
        <w:rPr>
          <w:rFonts w:ascii="Calibri" w:hAnsi="Calibri"/>
          <w:sz w:val="22"/>
        </w:rPr>
        <w:t>Có raw payload, nested facts và nhiều index; chi phí storage không chỉ là kích thước JSON gốc.</w:t>
      </w:r>
    </w:p>
    <w:p>
      <w:pPr>
        <w:pStyle w:val="ListBullet"/>
        <w:spacing w:after="80" w:line="280" w:lineRule="auto"/>
      </w:pPr>
      <w:r>
        <w:rPr>
          <w:rFonts w:ascii="Calibri" w:hAnsi="Calibri"/>
          <w:sz w:val="22"/>
        </w:rPr>
        <w:t>Retention mục tiêu là 14 ngày: event cũ, không cần thiết sẽ được xóa/archival.</w:t>
      </w:r>
    </w:p>
    <w:p>
      <w:pPr>
        <w:pStyle w:val="Heading1"/>
      </w:pPr>
      <w:r>
        <w:t>2. Cách Azure DocumentDB tính phí</w:t>
      </w:r>
    </w:p>
    <w:p>
      <w:pPr>
        <w:spacing w:before="0" w:after="120" w:line="264" w:lineRule="auto"/>
      </w:pPr>
      <w:r>
        <w:rPr>
          <w:rFonts w:ascii="Calibri" w:hAnsi="Calibri"/>
          <w:i w:val="0"/>
          <w:sz w:val="22"/>
        </w:rPr>
        <w:t>Azure DocumentDB (tên mới của Azure Cosmos DB for MongoDB vCore) tính phí theo node compute/memory và storage provisioned. Số lần ghi không được tính tiền trực tiếp theo request/RU như Cosmos DB MongoDB API kiểu RU.</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tcMar>
              <w:top w:w="80" w:type="dxa"/>
              <w:start w:w="120" w:type="dxa"/>
              <w:bottom w:w="80" w:type="dxa"/>
              <w:end w:w="120" w:type="dxa"/>
            </w:tcMar>
            <w:vAlign w:val="center"/>
            <w:shd w:fill="E8EEF5"/>
          </w:tcPr>
          <w:p>
            <w:pPr>
              <w:spacing w:after="0"/>
            </w:pPr>
            <w:r>
              <w:rPr>
                <w:rFonts w:ascii="Calibri" w:hAnsi="Calibri"/>
                <w:b/>
                <w:color w:val="0B2545"/>
                <w:sz w:val="20"/>
              </w:rPr>
              <w:t>Thành phần</w:t>
            </w:r>
          </w:p>
        </w:tc>
        <w:tc>
          <w:tcPr>
            <w:tcW w:type="dxa" w:w="7560"/>
            <w:tcMar>
              <w:top w:w="80" w:type="dxa"/>
              <w:start w:w="120" w:type="dxa"/>
              <w:bottom w:w="80" w:type="dxa"/>
              <w:end w:w="120" w:type="dxa"/>
            </w:tcMar>
            <w:vAlign w:val="center"/>
            <w:shd w:fill="E8EEF5"/>
          </w:tcPr>
          <w:p>
            <w:pPr>
              <w:spacing w:after="0"/>
            </w:pPr>
            <w:r>
              <w:rPr>
                <w:rFonts w:ascii="Calibri" w:hAnsi="Calibri"/>
                <w:b/>
                <w:color w:val="0B2545"/>
                <w:sz w:val="20"/>
              </w:rPr>
              <w:t>Ý nghĩa đối với hệ thống RFID</w:t>
            </w:r>
          </w:p>
        </w:tc>
      </w:tr>
      <w:tr>
        <w:trPr>
          <w:cantSplit/>
        </w:trPr>
        <w:tc>
          <w:tcPr>
            <w:tcW w:type="dxa" w:w="1800"/>
          </w:tcPr>
          <w:p>
            <w:pPr>
              <w:spacing w:after="0"/>
            </w:pPr>
            <w:r>
              <w:rPr>
                <w:rFonts w:ascii="Calibri" w:hAnsi="Calibri"/>
                <w:sz w:val="20"/>
              </w:rPr>
              <w:t>Compute node</w:t>
            </w:r>
          </w:p>
        </w:tc>
        <w:tc>
          <w:tcPr>
            <w:tcW w:type="dxa" w:w="7560"/>
          </w:tcPr>
          <w:p>
            <w:pPr>
              <w:spacing w:after="0"/>
            </w:pPr>
            <w:r>
              <w:rPr>
                <w:rFonts w:ascii="Calibri" w:hAnsi="Calibri"/>
                <w:sz w:val="20"/>
              </w:rPr>
              <w:t>Trả liên tục theo tier đã cấp phát, kể cả lúc lưu lượng thấp. Đây là phần chi phí chính.</w:t>
            </w:r>
          </w:p>
        </w:tc>
      </w:tr>
      <w:tr>
        <w:trPr>
          <w:cantSplit/>
        </w:trPr>
        <w:tc>
          <w:tcPr>
            <w:tcW w:type="dxa" w:w="1800"/>
          </w:tcPr>
          <w:p>
            <w:pPr>
              <w:spacing w:after="0"/>
            </w:pPr>
            <w:r>
              <w:rPr>
                <w:rFonts w:ascii="Calibri" w:hAnsi="Calibri"/>
                <w:sz w:val="20"/>
              </w:rPr>
              <w:t>Storage</w:t>
            </w:r>
          </w:p>
        </w:tc>
        <w:tc>
          <w:tcPr>
            <w:tcW w:type="dxa" w:w="7560"/>
          </w:tcPr>
          <w:p>
            <w:pPr>
              <w:spacing w:after="0"/>
            </w:pPr>
            <w:r>
              <w:rPr>
                <w:rFonts w:ascii="Calibri" w:hAnsi="Calibri"/>
                <w:sz w:val="20"/>
              </w:rPr>
              <w:t>Cấp phát theo dung lượng mỗi node. Dữ liệu, index và overhead đều ảnh hưởng nhu cầu storage.</w:t>
            </w:r>
          </w:p>
        </w:tc>
      </w:tr>
      <w:tr>
        <w:trPr>
          <w:cantSplit/>
        </w:trPr>
        <w:tc>
          <w:tcPr>
            <w:tcW w:type="dxa" w:w="1800"/>
          </w:tcPr>
          <w:p>
            <w:pPr>
              <w:spacing w:after="0"/>
            </w:pPr>
            <w:r>
              <w:rPr>
                <w:rFonts w:ascii="Calibri" w:hAnsi="Calibri"/>
                <w:sz w:val="20"/>
              </w:rPr>
              <w:t>High Availability (HA)</w:t>
            </w:r>
          </w:p>
        </w:tc>
        <w:tc>
          <w:tcPr>
            <w:tcW w:type="dxa" w:w="7560"/>
          </w:tcPr>
          <w:p>
            <w:pPr>
              <w:spacing w:after="0"/>
            </w:pPr>
            <w:r>
              <w:rPr>
                <w:rFonts w:ascii="Calibri" w:hAnsi="Calibri"/>
                <w:sz w:val="20"/>
              </w:rPr>
              <w:t>Duy trì standby replica để giảm downtime; compute gần như tăng gấp đôi.</w:t>
            </w:r>
          </w:p>
        </w:tc>
      </w:tr>
      <w:tr>
        <w:trPr>
          <w:cantSplit/>
        </w:trPr>
        <w:tc>
          <w:tcPr>
            <w:tcW w:type="dxa" w:w="1800"/>
          </w:tcPr>
          <w:p>
            <w:pPr>
              <w:spacing w:after="0"/>
            </w:pPr>
            <w:r>
              <w:rPr>
                <w:rFonts w:ascii="Calibri" w:hAnsi="Calibri"/>
                <w:sz w:val="20"/>
              </w:rPr>
              <w:t>Bandwidth egress</w:t>
            </w:r>
          </w:p>
        </w:tc>
        <w:tc>
          <w:tcPr>
            <w:tcW w:type="dxa" w:w="7560"/>
          </w:tcPr>
          <w:p>
            <w:pPr>
              <w:spacing w:after="0"/>
            </w:pPr>
            <w:r>
              <w:rPr>
                <w:rFonts w:ascii="Calibri" w:hAnsi="Calibri"/>
                <w:sz w:val="20"/>
              </w:rPr>
              <w:t>Phát sinh khi dữ liệu ra Internet hoặc đi qua Azure WAN giữa region.</w:t>
            </w:r>
          </w:p>
        </w:tc>
      </w:tr>
      <w:tr>
        <w:trPr>
          <w:cantSplit/>
        </w:trPr>
        <w:tc>
          <w:tcPr>
            <w:tcW w:type="dxa" w:w="1800"/>
          </w:tcPr>
          <w:p>
            <w:pPr>
              <w:spacing w:after="0"/>
            </w:pPr>
            <w:r>
              <w:rPr>
                <w:rFonts w:ascii="Calibri" w:hAnsi="Calibri"/>
                <w:sz w:val="20"/>
              </w:rPr>
              <w:t>Backup</w:t>
            </w:r>
          </w:p>
        </w:tc>
        <w:tc>
          <w:tcPr>
            <w:tcW w:type="dxa" w:w="7560"/>
          </w:tcPr>
          <w:p>
            <w:pPr>
              <w:spacing w:after="0"/>
            </w:pPr>
            <w:r>
              <w:rPr>
                <w:rFonts w:ascii="Calibri" w:hAnsi="Calibri"/>
                <w:sz w:val="20"/>
              </w:rPr>
              <w:t>Backup tự động tối đa 35 ngày hiện không có phí bổ sung theo bảng giá dịch vụ.</w:t>
            </w:r>
          </w:p>
        </w:tc>
      </w:tr>
    </w:tbl>
    <w:p>
      <w:pPr>
        <w:spacing w:after="40"/>
      </w:pPr>
    </w:p>
    <w:p>
      <w:pPr>
        <w:spacing w:before="0" w:after="120" w:line="264" w:lineRule="auto"/>
      </w:pPr>
      <w:r>
        <w:rPr>
          <w:rFonts w:ascii="Calibri" w:hAnsi="Calibri"/>
          <w:i/>
          <w:color w:val="666666"/>
          <w:sz w:val="22"/>
        </w:rPr>
        <w:t>Nguồn: Azure DocumentDB Pricing, cập nhật tham chiếu tại thời điểm lập tài liệu. Giá thực tế phụ thuộc region, loại hợp đồng và tỷ giá.</w:t>
      </w:r>
    </w:p>
    <w:p>
      <w:pPr>
        <w:pStyle w:val="Heading1"/>
      </w:pPr>
      <w:r>
        <w:t>3. Quy đổi 100.000 record/ngày thành dung lượng</w:t>
      </w:r>
    </w:p>
    <w:p>
      <w:pPr>
        <w:spacing w:before="0" w:after="120" w:line="264" w:lineRule="auto"/>
      </w:pPr>
      <w:r>
        <w:rPr>
          <w:rFonts w:ascii="Calibri" w:hAnsi="Calibri"/>
          <w:i w:val="0"/>
          <w:sz w:val="22"/>
        </w:rPr>
        <w:t>Công thức cơ bản: 100.000 event/ngày × 14 ngày = 1.400.000 document được giữ đồng thời. Trung bình theo thời gian chỉ khoảng 1,16 event/giây, vì vậy năng lực ghi trung bình không cao; rủi ro chính là burst từ thiết bị và query/report chạy đồng thời.</w:t>
      </w:r>
    </w:p>
    <w:tbl>
      <w:tblPr>
        <w:tblStyle w:val="TableGrid"/>
        <w:tblW w:type="dxa" w:w="9360"/>
        <w:jc w:val="left"/>
        <w:tblLayout w:type="fixed"/>
        <w:tblLook w:firstColumn="1" w:firstRow="1" w:lastColumn="0" w:lastRow="0" w:noHBand="0" w:noVBand="1" w:val="04A0"/>
        <w:tblInd w:w="120" w:type="dxa"/>
      </w:tblPr>
      <w:tblGrid>
        <w:gridCol w:w="2640"/>
        <w:gridCol w:w="2160"/>
        <w:gridCol w:w="2400"/>
        <w:gridCol w:w="2160"/>
      </w:tblGrid>
      <w:tr>
        <w:trPr>
          <w:tblHeader w:val="true"/>
        </w:trPr>
        <w:tc>
          <w:tcPr>
            <w:tcW w:type="dxa" w:w="2640"/>
            <w:tcMar>
              <w:top w:w="80" w:type="dxa"/>
              <w:start w:w="120" w:type="dxa"/>
              <w:bottom w:w="80" w:type="dxa"/>
              <w:end w:w="120" w:type="dxa"/>
            </w:tcMar>
            <w:vAlign w:val="center"/>
            <w:shd w:fill="E8EEF5"/>
          </w:tcPr>
          <w:p>
            <w:pPr>
              <w:spacing w:after="0"/>
            </w:pPr>
            <w:r>
              <w:rPr>
                <w:rFonts w:ascii="Calibri" w:hAnsi="Calibri"/>
                <w:b/>
                <w:color w:val="0B2545"/>
                <w:sz w:val="20"/>
              </w:rPr>
              <w:t>Kích thước trung bình/document</w:t>
            </w:r>
          </w:p>
        </w:tc>
        <w:tc>
          <w:tcPr>
            <w:tcW w:type="dxa" w:w="2160"/>
            <w:tcMar>
              <w:top w:w="80" w:type="dxa"/>
              <w:start w:w="120" w:type="dxa"/>
              <w:bottom w:w="80" w:type="dxa"/>
              <w:end w:w="120" w:type="dxa"/>
            </w:tcMar>
            <w:vAlign w:val="center"/>
            <w:shd w:fill="E8EEF5"/>
          </w:tcPr>
          <w:p>
            <w:pPr>
              <w:spacing w:after="0"/>
            </w:pPr>
            <w:r>
              <w:rPr>
                <w:rFonts w:ascii="Calibri" w:hAnsi="Calibri"/>
                <w:b/>
                <w:color w:val="0B2545"/>
                <w:sz w:val="20"/>
              </w:rPr>
              <w:t>Dữ liệu gốc trong 14 ngày</w:t>
            </w:r>
          </w:p>
        </w:tc>
        <w:tc>
          <w:tcPr>
            <w:tcW w:type="dxa" w:w="2400"/>
            <w:tcMar>
              <w:top w:w="80" w:type="dxa"/>
              <w:start w:w="120" w:type="dxa"/>
              <w:bottom w:w="80" w:type="dxa"/>
              <w:end w:w="120" w:type="dxa"/>
            </w:tcMar>
            <w:vAlign w:val="center"/>
            <w:shd w:fill="E8EEF5"/>
          </w:tcPr>
          <w:p>
            <w:pPr>
              <w:spacing w:after="0"/>
            </w:pPr>
            <w:r>
              <w:rPr>
                <w:rFonts w:ascii="Calibri" w:hAnsi="Calibri"/>
                <w:b/>
                <w:color w:val="0B2545"/>
                <w:sz w:val="20"/>
              </w:rPr>
              <w:t>Dự phòng data + index</w:t>
            </w:r>
          </w:p>
        </w:tc>
        <w:tc>
          <w:tcPr>
            <w:tcW w:type="dxa" w:w="2160"/>
            <w:tcMar>
              <w:top w:w="80" w:type="dxa"/>
              <w:start w:w="120" w:type="dxa"/>
              <w:bottom w:w="80" w:type="dxa"/>
              <w:end w:w="120" w:type="dxa"/>
            </w:tcMar>
            <w:vAlign w:val="center"/>
            <w:shd w:fill="E8EEF5"/>
          </w:tcPr>
          <w:p>
            <w:pPr>
              <w:spacing w:after="0"/>
            </w:pPr>
            <w:r>
              <w:rPr>
                <w:rFonts w:ascii="Calibri" w:hAnsi="Calibri"/>
                <w:b/>
                <w:color w:val="0B2545"/>
                <w:sz w:val="20"/>
              </w:rPr>
              <w:t>Đánh giá 32 GiB</w:t>
            </w:r>
          </w:p>
        </w:tc>
      </w:tr>
      <w:tr>
        <w:trPr>
          <w:cantSplit/>
        </w:trPr>
        <w:tc>
          <w:tcPr>
            <w:tcW w:type="dxa" w:w="2640"/>
          </w:tcPr>
          <w:p>
            <w:pPr>
              <w:spacing w:after="0"/>
            </w:pPr>
            <w:r>
              <w:rPr>
                <w:rFonts w:ascii="Calibri" w:hAnsi="Calibri"/>
                <w:sz w:val="20"/>
              </w:rPr>
              <w:t>2 KB</w:t>
            </w:r>
          </w:p>
        </w:tc>
        <w:tc>
          <w:tcPr>
            <w:tcW w:type="dxa" w:w="2160"/>
          </w:tcPr>
          <w:p>
            <w:pPr>
              <w:spacing w:after="0"/>
            </w:pPr>
            <w:r>
              <w:rPr>
                <w:rFonts w:ascii="Calibri" w:hAnsi="Calibri"/>
                <w:sz w:val="20"/>
              </w:rPr>
              <w:t>~2,8 GB</w:t>
            </w:r>
          </w:p>
        </w:tc>
        <w:tc>
          <w:tcPr>
            <w:tcW w:type="dxa" w:w="2400"/>
          </w:tcPr>
          <w:p>
            <w:pPr>
              <w:spacing w:after="0"/>
            </w:pPr>
            <w:r>
              <w:rPr>
                <w:rFonts w:ascii="Calibri" w:hAnsi="Calibri"/>
                <w:sz w:val="20"/>
              </w:rPr>
              <w:t>~6–9 GB</w:t>
            </w:r>
          </w:p>
        </w:tc>
        <w:tc>
          <w:tcPr>
            <w:tcW w:type="dxa" w:w="2160"/>
          </w:tcPr>
          <w:p>
            <w:pPr>
              <w:spacing w:after="0"/>
            </w:pPr>
            <w:r>
              <w:rPr>
                <w:rFonts w:ascii="Calibri" w:hAnsi="Calibri"/>
                <w:sz w:val="20"/>
              </w:rPr>
              <w:t>Thoải mái</w:t>
            </w:r>
          </w:p>
        </w:tc>
      </w:tr>
      <w:tr>
        <w:trPr>
          <w:cantSplit/>
        </w:trPr>
        <w:tc>
          <w:tcPr>
            <w:tcW w:type="dxa" w:w="2640"/>
          </w:tcPr>
          <w:p>
            <w:pPr>
              <w:spacing w:after="0"/>
            </w:pPr>
            <w:r>
              <w:rPr>
                <w:rFonts w:ascii="Calibri" w:hAnsi="Calibri"/>
                <w:sz w:val="20"/>
              </w:rPr>
              <w:t>5 KB</w:t>
            </w:r>
          </w:p>
        </w:tc>
        <w:tc>
          <w:tcPr>
            <w:tcW w:type="dxa" w:w="2160"/>
          </w:tcPr>
          <w:p>
            <w:pPr>
              <w:spacing w:after="0"/>
            </w:pPr>
            <w:r>
              <w:rPr>
                <w:rFonts w:ascii="Calibri" w:hAnsi="Calibri"/>
                <w:sz w:val="20"/>
              </w:rPr>
              <w:t>~7 GB</w:t>
            </w:r>
          </w:p>
        </w:tc>
        <w:tc>
          <w:tcPr>
            <w:tcW w:type="dxa" w:w="2400"/>
          </w:tcPr>
          <w:p>
            <w:pPr>
              <w:spacing w:after="0"/>
            </w:pPr>
            <w:r>
              <w:rPr>
                <w:rFonts w:ascii="Calibri" w:hAnsi="Calibri"/>
                <w:sz w:val="20"/>
              </w:rPr>
              <w:t>~14–21 GB</w:t>
            </w:r>
          </w:p>
        </w:tc>
        <w:tc>
          <w:tcPr>
            <w:tcW w:type="dxa" w:w="2160"/>
          </w:tcPr>
          <w:p>
            <w:pPr>
              <w:spacing w:after="0"/>
            </w:pPr>
            <w:r>
              <w:rPr>
                <w:rFonts w:ascii="Calibri" w:hAnsi="Calibri"/>
                <w:sz w:val="20"/>
              </w:rPr>
              <w:t>Phù hợp</w:t>
            </w:r>
          </w:p>
        </w:tc>
      </w:tr>
      <w:tr>
        <w:trPr>
          <w:cantSplit/>
        </w:trPr>
        <w:tc>
          <w:tcPr>
            <w:tcW w:type="dxa" w:w="2640"/>
          </w:tcPr>
          <w:p>
            <w:pPr>
              <w:spacing w:after="0"/>
            </w:pPr>
            <w:r>
              <w:rPr>
                <w:rFonts w:ascii="Calibri" w:hAnsi="Calibri"/>
                <w:sz w:val="20"/>
              </w:rPr>
              <w:t>10 KB</w:t>
            </w:r>
          </w:p>
        </w:tc>
        <w:tc>
          <w:tcPr>
            <w:tcW w:type="dxa" w:w="2160"/>
          </w:tcPr>
          <w:p>
            <w:pPr>
              <w:spacing w:after="0"/>
            </w:pPr>
            <w:r>
              <w:rPr>
                <w:rFonts w:ascii="Calibri" w:hAnsi="Calibri"/>
                <w:sz w:val="20"/>
              </w:rPr>
              <w:t>~14 GB</w:t>
            </w:r>
          </w:p>
        </w:tc>
        <w:tc>
          <w:tcPr>
            <w:tcW w:type="dxa" w:w="2400"/>
          </w:tcPr>
          <w:p>
            <w:pPr>
              <w:spacing w:after="0"/>
            </w:pPr>
            <w:r>
              <w:rPr>
                <w:rFonts w:ascii="Calibri" w:hAnsi="Calibri"/>
                <w:sz w:val="20"/>
              </w:rPr>
              <w:t>~28–42 GB</w:t>
            </w:r>
          </w:p>
        </w:tc>
        <w:tc>
          <w:tcPr>
            <w:tcW w:type="dxa" w:w="2160"/>
          </w:tcPr>
          <w:p>
            <w:pPr>
              <w:spacing w:after="0"/>
            </w:pPr>
            <w:r>
              <w:rPr>
                <w:rFonts w:ascii="Calibri" w:hAnsi="Calibri"/>
                <w:sz w:val="20"/>
              </w:rPr>
              <w:t>Có nguy cơ vượt mức</w:t>
            </w:r>
          </w:p>
        </w:tc>
      </w:tr>
    </w:tbl>
    <w:p>
      <w:pPr>
        <w:spacing w:after="40"/>
      </w:pPr>
    </w:p>
    <w:p>
      <w:pPr>
        <w:spacing w:before="0" w:after="120" w:line="264" w:lineRule="auto"/>
      </w:pPr>
      <w:r>
        <w:rPr>
          <w:rFonts w:ascii="Calibri" w:hAnsi="Calibri"/>
          <w:i/>
          <w:color w:val="666666"/>
          <w:sz w:val="22"/>
        </w:rPr>
        <w:t>Dự phòng data + index sử dụng hệ số xấp xỉ 2–3 lần dữ liệu gốc. Đây là ước lượng an toàn cho schema có rawPayload và nhiều index, không phải số đo thay thế cho benchmark BSON thực tế.</w:t>
      </w:r>
    </w:p>
    <w:p>
      <w:pPr>
        <w:pStyle w:val="Heading2"/>
      </w:pPr>
      <w:r>
        <w:t>3.1. Những yếu tố làm kích thước tăng</w:t>
      </w:r>
    </w:p>
    <w:p>
      <w:pPr>
        <w:pStyle w:val="ListBullet"/>
        <w:spacing w:after="80" w:line="280" w:lineRule="auto"/>
      </w:pPr>
      <w:r>
        <w:rPr>
          <w:rFonts w:ascii="Calibri" w:hAnsi="Calibri"/>
          <w:sz w:val="22"/>
        </w:rPr>
        <w:t>rawPayload.text dài hoặc có dữ liệu log lặp lại nhiều.</w:t>
      </w:r>
    </w:p>
    <w:p>
      <w:pPr>
        <w:pStyle w:val="ListBullet"/>
        <w:spacing w:after="80" w:line="280" w:lineRule="auto"/>
      </w:pPr>
      <w:r>
        <w:rPr>
          <w:rFonts w:ascii="Calibri" w:hAnsi="Calibri"/>
          <w:sz w:val="22"/>
        </w:rPr>
        <w:t>Thêm index ngoài các index phục vụ endpoint thực tế.</w:t>
      </w:r>
    </w:p>
    <w:p>
      <w:pPr>
        <w:pStyle w:val="ListBullet"/>
        <w:spacing w:after="80" w:line="280" w:lineRule="auto"/>
      </w:pPr>
      <w:r>
        <w:rPr>
          <w:rFonts w:ascii="Calibri" w:hAnsi="Calibri"/>
          <w:sz w:val="22"/>
        </w:rPr>
        <w:t>Giữ lại document lỗi, projections hoặc audit data không có TTL/archival riêng.</w:t>
      </w:r>
    </w:p>
    <w:p>
      <w:pPr>
        <w:pStyle w:val="ListBullet"/>
        <w:spacing w:after="80" w:line="280" w:lineRule="auto"/>
      </w:pPr>
      <w:r>
        <w:rPr>
          <w:rFonts w:ascii="Calibri" w:hAnsi="Calibri"/>
          <w:sz w:val="22"/>
        </w:rPr>
        <w:t>Retention thay đổi từ 14 ngày lên nhiều tháng.</w:t>
      </w:r>
    </w:p>
    <w:p>
      <w:pPr>
        <w:pStyle w:val="Heading1"/>
      </w:pPr>
      <w:r>
        <w:t>4. So sánh các lựa chọn triển khai</w:t>
      </w:r>
    </w:p>
    <w:tbl>
      <w:tblPr>
        <w:tblStyle w:val="TableGrid"/>
        <w:tblW w:type="dxa" w:w="9360"/>
        <w:jc w:val="left"/>
        <w:tblLayout w:type="fixed"/>
        <w:tblLook w:firstColumn="1" w:firstRow="1" w:lastColumn="0" w:lastRow="0" w:noHBand="0" w:noVBand="1" w:val="04A0"/>
        <w:tblInd w:w="120" w:type="dxa"/>
      </w:tblPr>
      <w:tblGrid>
        <w:gridCol w:w="1980"/>
        <w:gridCol w:w="1800"/>
        <w:gridCol w:w="2340"/>
        <w:gridCol w:w="3240"/>
      </w:tblGrid>
      <w:tr>
        <w:trPr>
          <w:tblHeader w:val="true"/>
        </w:trPr>
        <w:tc>
          <w:tcPr>
            <w:tcW w:type="dxa" w:w="1980"/>
            <w:tcMar>
              <w:top w:w="80" w:type="dxa"/>
              <w:start w:w="120" w:type="dxa"/>
              <w:bottom w:w="80" w:type="dxa"/>
              <w:end w:w="120" w:type="dxa"/>
            </w:tcMar>
            <w:vAlign w:val="center"/>
            <w:shd w:fill="E8EEF5"/>
          </w:tcPr>
          <w:p>
            <w:pPr>
              <w:spacing w:after="0"/>
            </w:pPr>
            <w:r>
              <w:rPr>
                <w:rFonts w:ascii="Calibri" w:hAnsi="Calibri"/>
                <w:b/>
                <w:color w:val="0B2545"/>
                <w:sz w:val="20"/>
              </w:rPr>
              <w:t>Phương án</w:t>
            </w:r>
          </w:p>
        </w:tc>
        <w:tc>
          <w:tcPr>
            <w:tcW w:type="dxa" w:w="1800"/>
            <w:tcMar>
              <w:top w:w="80" w:type="dxa"/>
              <w:start w:w="120" w:type="dxa"/>
              <w:bottom w:w="80" w:type="dxa"/>
              <w:end w:w="120" w:type="dxa"/>
            </w:tcMar>
            <w:vAlign w:val="center"/>
            <w:shd w:fill="E8EEF5"/>
          </w:tcPr>
          <w:p>
            <w:pPr>
              <w:spacing w:after="0"/>
            </w:pPr>
            <w:r>
              <w:rPr>
                <w:rFonts w:ascii="Calibri" w:hAnsi="Calibri"/>
                <w:b/>
                <w:color w:val="0B2545"/>
                <w:sz w:val="20"/>
              </w:rPr>
              <w:t>Ước tính chi phí DB/tháng</w:t>
            </w:r>
          </w:p>
        </w:tc>
        <w:tc>
          <w:tcPr>
            <w:tcW w:type="dxa" w:w="2340"/>
            <w:tcMar>
              <w:top w:w="80" w:type="dxa"/>
              <w:start w:w="120" w:type="dxa"/>
              <w:bottom w:w="80" w:type="dxa"/>
              <w:end w:w="120" w:type="dxa"/>
            </w:tcMar>
            <w:vAlign w:val="center"/>
            <w:shd w:fill="E8EEF5"/>
          </w:tcPr>
          <w:p>
            <w:pPr>
              <w:spacing w:after="0"/>
            </w:pPr>
            <w:r>
              <w:rPr>
                <w:rFonts w:ascii="Calibri" w:hAnsi="Calibri"/>
                <w:b/>
                <w:color w:val="0B2545"/>
                <w:sz w:val="20"/>
              </w:rPr>
              <w:t>Phù hợp</w:t>
            </w:r>
          </w:p>
        </w:tc>
        <w:tc>
          <w:tcPr>
            <w:tcW w:type="dxa" w:w="3240"/>
            <w:tcMar>
              <w:top w:w="80" w:type="dxa"/>
              <w:start w:w="120" w:type="dxa"/>
              <w:bottom w:w="80" w:type="dxa"/>
              <w:end w:w="120" w:type="dxa"/>
            </w:tcMar>
            <w:vAlign w:val="center"/>
            <w:shd w:fill="E8EEF5"/>
          </w:tcPr>
          <w:p>
            <w:pPr>
              <w:spacing w:after="0"/>
            </w:pPr>
            <w:r>
              <w:rPr>
                <w:rFonts w:ascii="Calibri" w:hAnsi="Calibri"/>
                <w:b/>
                <w:color w:val="0B2545"/>
                <w:sz w:val="20"/>
              </w:rPr>
              <w:t>Điểm cần lưu ý</w:t>
            </w:r>
          </w:p>
        </w:tc>
      </w:tr>
      <w:tr>
        <w:trPr>
          <w:cantSplit/>
        </w:trPr>
        <w:tc>
          <w:tcPr>
            <w:tcW w:type="dxa" w:w="1980"/>
          </w:tcPr>
          <w:p>
            <w:pPr>
              <w:spacing w:after="0"/>
            </w:pPr>
            <w:r>
              <w:rPr>
                <w:rFonts w:ascii="Calibri" w:hAnsi="Calibri"/>
                <w:sz w:val="20"/>
              </w:rPr>
              <w:t>Free Tier</w:t>
            </w:r>
          </w:p>
        </w:tc>
        <w:tc>
          <w:tcPr>
            <w:tcW w:type="dxa" w:w="1800"/>
          </w:tcPr>
          <w:p>
            <w:pPr>
              <w:spacing w:after="0"/>
            </w:pPr>
            <w:r>
              <w:rPr>
                <w:rFonts w:ascii="Calibri" w:hAnsi="Calibri"/>
                <w:sz w:val="20"/>
              </w:rPr>
              <w:t>0 USD</w:t>
            </w:r>
          </w:p>
        </w:tc>
        <w:tc>
          <w:tcPr>
            <w:tcW w:type="dxa" w:w="2340"/>
          </w:tcPr>
          <w:p>
            <w:pPr>
              <w:spacing w:after="0"/>
            </w:pPr>
            <w:r>
              <w:rPr>
                <w:rFonts w:ascii="Calibri" w:hAnsi="Calibri"/>
                <w:sz w:val="20"/>
              </w:rPr>
              <w:t>Dev, demo, POC</w:t>
            </w:r>
          </w:p>
        </w:tc>
        <w:tc>
          <w:tcPr>
            <w:tcW w:type="dxa" w:w="3240"/>
          </w:tcPr>
          <w:p>
            <w:pPr>
              <w:spacing w:after="0"/>
            </w:pPr>
            <w:r>
              <w:rPr>
                <w:rFonts w:ascii="Calibri" w:hAnsi="Calibri"/>
                <w:sz w:val="20"/>
              </w:rPr>
              <w:t>32 GiB nhưng thiếu HA, backup/restore, diagnostic logging; không nên làm production chính.</w:t>
            </w:r>
          </w:p>
        </w:tc>
      </w:tr>
      <w:tr>
        <w:trPr>
          <w:cantSplit/>
        </w:trPr>
        <w:tc>
          <w:tcPr>
            <w:tcW w:type="dxa" w:w="1980"/>
          </w:tcPr>
          <w:p>
            <w:pPr>
              <w:spacing w:after="0"/>
            </w:pPr>
            <w:r>
              <w:rPr>
                <w:rFonts w:ascii="Calibri" w:hAnsi="Calibri"/>
                <w:sz w:val="20"/>
              </w:rPr>
              <w:t>M10 + 32 GiB, không HA</w:t>
            </w:r>
          </w:p>
        </w:tc>
        <w:tc>
          <w:tcPr>
            <w:tcW w:type="dxa" w:w="1800"/>
          </w:tcPr>
          <w:p>
            <w:pPr>
              <w:spacing w:after="0"/>
            </w:pPr>
            <w:r>
              <w:rPr>
                <w:rFonts w:ascii="Calibri" w:hAnsi="Calibri"/>
                <w:sz w:val="20"/>
              </w:rPr>
              <w:t>~18–20 USD</w:t>
            </w:r>
          </w:p>
        </w:tc>
        <w:tc>
          <w:tcPr>
            <w:tcW w:type="dxa" w:w="2340"/>
          </w:tcPr>
          <w:p>
            <w:pPr>
              <w:spacing w:after="0"/>
            </w:pPr>
            <w:r>
              <w:rPr>
                <w:rFonts w:ascii="Calibri" w:hAnsi="Calibri"/>
                <w:sz w:val="20"/>
              </w:rPr>
              <w:t>Production giai đoạn đầu, tải RFID hiện tại</w:t>
            </w:r>
          </w:p>
        </w:tc>
        <w:tc>
          <w:tcPr>
            <w:tcW w:type="dxa" w:w="3240"/>
          </w:tcPr>
          <w:p>
            <w:pPr>
              <w:spacing w:after="0"/>
            </w:pPr>
            <w:r>
              <w:rPr>
                <w:rFonts w:ascii="Calibri" w:hAnsi="Calibri"/>
                <w:sz w:val="20"/>
              </w:rPr>
              <w:t>1 vCore / 2 GiB RAM; cần theo dõi burst, query và dung lượng.</w:t>
            </w:r>
          </w:p>
        </w:tc>
      </w:tr>
      <w:tr>
        <w:trPr>
          <w:cantSplit/>
        </w:trPr>
        <w:tc>
          <w:tcPr>
            <w:tcW w:type="dxa" w:w="1980"/>
          </w:tcPr>
          <w:p>
            <w:pPr>
              <w:spacing w:after="0"/>
            </w:pPr>
            <w:r>
              <w:rPr>
                <w:rFonts w:ascii="Calibri" w:hAnsi="Calibri"/>
                <w:sz w:val="20"/>
              </w:rPr>
              <w:t>M20 + 32 GiB, không HA</w:t>
            </w:r>
          </w:p>
        </w:tc>
        <w:tc>
          <w:tcPr>
            <w:tcW w:type="dxa" w:w="1800"/>
          </w:tcPr>
          <w:p>
            <w:pPr>
              <w:spacing w:after="0"/>
            </w:pPr>
            <w:r>
              <w:rPr>
                <w:rFonts w:ascii="Calibri" w:hAnsi="Calibri"/>
                <w:sz w:val="20"/>
              </w:rPr>
              <w:t>~60 USD</w:t>
            </w:r>
          </w:p>
        </w:tc>
        <w:tc>
          <w:tcPr>
            <w:tcW w:type="dxa" w:w="2340"/>
          </w:tcPr>
          <w:p>
            <w:pPr>
              <w:spacing w:after="0"/>
            </w:pPr>
            <w:r>
              <w:rPr>
                <w:rFonts w:ascii="Calibri" w:hAnsi="Calibri"/>
                <w:sz w:val="20"/>
              </w:rPr>
              <w:t>Khi M10 thiếu CPU/RAM</w:t>
            </w:r>
          </w:p>
        </w:tc>
        <w:tc>
          <w:tcPr>
            <w:tcW w:type="dxa" w:w="3240"/>
          </w:tcPr>
          <w:p>
            <w:pPr>
              <w:spacing w:after="0"/>
            </w:pPr>
            <w:r>
              <w:rPr>
                <w:rFonts w:ascii="Calibri" w:hAnsi="Calibri"/>
                <w:sz w:val="20"/>
              </w:rPr>
              <w:t>Nâng khi đã có số liệu benchmark, không phải chỉ vì 100k event/ngày.</w:t>
            </w:r>
          </w:p>
        </w:tc>
      </w:tr>
      <w:tr>
        <w:trPr>
          <w:cantSplit/>
        </w:trPr>
        <w:tc>
          <w:tcPr>
            <w:tcW w:type="dxa" w:w="1980"/>
          </w:tcPr>
          <w:p>
            <w:pPr>
              <w:spacing w:after="0"/>
            </w:pPr>
            <w:r>
              <w:rPr>
                <w:rFonts w:ascii="Calibri" w:hAnsi="Calibri"/>
                <w:sz w:val="20"/>
              </w:rPr>
              <w:t>M30 + HA + 32/64 GiB</w:t>
            </w:r>
          </w:p>
        </w:tc>
        <w:tc>
          <w:tcPr>
            <w:tcW w:type="dxa" w:w="1800"/>
          </w:tcPr>
          <w:p>
            <w:pPr>
              <w:spacing w:after="0"/>
            </w:pPr>
            <w:r>
              <w:rPr>
                <w:rFonts w:ascii="Calibri" w:hAnsi="Calibri"/>
                <w:sz w:val="20"/>
              </w:rPr>
              <w:t>~210–220 USD</w:t>
            </w:r>
          </w:p>
        </w:tc>
        <w:tc>
          <w:tcPr>
            <w:tcW w:type="dxa" w:w="2340"/>
          </w:tcPr>
          <w:p>
            <w:pPr>
              <w:spacing w:after="0"/>
            </w:pPr>
            <w:r>
              <w:rPr>
                <w:rFonts w:ascii="Calibri" w:hAnsi="Calibri"/>
                <w:sz w:val="20"/>
              </w:rPr>
              <w:t>Workload quan trọng, cần availability cao</w:t>
            </w:r>
          </w:p>
        </w:tc>
        <w:tc>
          <w:tcPr>
            <w:tcW w:type="dxa" w:w="3240"/>
          </w:tcPr>
          <w:p>
            <w:pPr>
              <w:spacing w:after="0"/>
            </w:pPr>
            <w:r>
              <w:rPr>
                <w:rFonts w:ascii="Calibri" w:hAnsi="Calibri"/>
                <w:sz w:val="20"/>
              </w:rPr>
              <w:t>Đắt do tier cao hơn và HA, không cần thiết ở giai đoạn đầu nếu chưa có SLA.</w:t>
            </w:r>
          </w:p>
        </w:tc>
      </w:tr>
    </w:tbl>
    <w:p>
      <w:pPr>
        <w:spacing w:after="40"/>
      </w:pPr>
    </w:p>
    <w:p>
      <w:pPr>
        <w:spacing w:before="0" w:after="120" w:line="264" w:lineRule="auto"/>
      </w:pPr>
      <w:r>
        <w:rPr>
          <w:rFonts w:ascii="Calibri" w:hAnsi="Calibri"/>
          <w:i/>
          <w:color w:val="666666"/>
          <w:sz w:val="22"/>
        </w:rPr>
        <w:t>Các giá node là giá tham khảo theo bảng Azure US: M10 ~13,94 USD/tháng; M20 ~55,77 USD; M30 ~100,68 USD trước HA. Storage 32 GiB ở mức vài USD/tháng. Kiểm tra lại bằng Azure Pricing Calculator tại region sẽ triển khai trước khi chốt ngân sách.</w:t>
      </w:r>
    </w:p>
    <w:p>
      <w:pPr>
        <w:pStyle w:val="Heading2"/>
      </w:pPr>
      <w:r>
        <w:t>4.1. Vì sao M30 tăng giá mạnh</w:t>
      </w:r>
    </w:p>
    <w:p>
      <w:pPr>
        <w:spacing w:before="0" w:after="120" w:line="264" w:lineRule="auto"/>
      </w:pPr>
      <w:r>
        <w:rPr>
          <w:rFonts w:ascii="Calibri" w:hAnsi="Calibri"/>
          <w:i w:val="0"/>
          <w:sz w:val="22"/>
        </w:rPr>
        <w:t>M30 không đắt hơn vì database ghi nhiều record hơn, mà vì đó là máy lớn hơn chạy 24/7. So với M10, M30 tăng từ 1 vCore/2 GiB RAM lên 2 vCore/8 GiB RAM. Khi bật HA, có thêm standby replica nên compute gần tương đương nhân đôi. Với 100.000 event/ngày, không có căn cứ để chọn M30 ngay nếu chưa thấy áp lực từ burst hoặc query.</w:t>
      </w:r>
    </w:p>
    <w:p>
      <w:pPr>
        <w:pStyle w:val="Heading1"/>
      </w:pPr>
      <w:r>
        <w:t>5. Khuyến nghị cấu hình production ban đầu</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40"/>
            </w:pPr>
            <w:r>
              <w:rPr>
                <w:rFonts w:ascii="Calibri" w:hAnsi="Calibri"/>
                <w:b/>
                <w:color w:val="1F4D78"/>
                <w:sz w:val="22"/>
              </w:rPr>
              <w:t>Cấu hình khởi đầu</w:t>
            </w:r>
          </w:p>
          <w:p>
            <w:pPr>
              <w:spacing w:after="40" w:line="264" w:lineRule="auto"/>
            </w:pPr>
            <w:r>
              <w:rPr>
                <w:rFonts w:ascii="Calibri" w:hAnsi="Calibri"/>
                <w:sz w:val="21"/>
              </w:rPr>
              <w:t>Azure DocumentDB M10, 32 GiB storage, không HA; triển khai TTL 14 ngày cho event history không cần giữ lâu; Worker dùng bulk write; monitoring và backup vận hành phải được thiết kế ngay từ đầu.</w:t>
            </w:r>
          </w:p>
        </w:tc>
      </w:tr>
    </w:tbl>
    <w:p>
      <w:pPr>
        <w:spacing w:after="40"/>
      </w:pPr>
    </w:p>
    <w:p>
      <w:pPr>
        <w:pStyle w:val="Heading2"/>
      </w:pPr>
      <w:r>
        <w:t>5.1. Điều kiện để M10 + 32 GiB là đủ</w:t>
      </w:r>
    </w:p>
    <w:p>
      <w:pPr>
        <w:pStyle w:val="ListBullet"/>
        <w:spacing w:after="80" w:line="280" w:lineRule="auto"/>
      </w:pPr>
      <w:r>
        <w:rPr>
          <w:rFonts w:ascii="Calibri" w:hAnsi="Calibri"/>
          <w:sz w:val="22"/>
        </w:rPr>
        <w:t>Kích thước BSON trung bình dưới khoảng 5–7 KB/document.</w:t>
      </w:r>
    </w:p>
    <w:p>
      <w:pPr>
        <w:pStyle w:val="ListBullet"/>
        <w:spacing w:after="80" w:line="280" w:lineRule="auto"/>
      </w:pPr>
      <w:r>
        <w:rPr>
          <w:rFonts w:ascii="Calibri" w:hAnsi="Calibri"/>
          <w:sz w:val="22"/>
        </w:rPr>
        <w:t>Traffic ghi trung bình gần 100k event/ngày và burst không quá dài hoặc được buffer bằng queue/bounded buffer.</w:t>
      </w:r>
    </w:p>
    <w:p>
      <w:pPr>
        <w:pStyle w:val="ListBullet"/>
        <w:spacing w:after="80" w:line="280" w:lineRule="auto"/>
      </w:pPr>
      <w:r>
        <w:rPr>
          <w:rFonts w:ascii="Calibri" w:hAnsi="Calibri"/>
          <w:sz w:val="22"/>
        </w:rPr>
        <w:t>Timeline/report dùng index đúng, có giới hạn khoảng thời gian và phân trang.</w:t>
      </w:r>
    </w:p>
    <w:p>
      <w:pPr>
        <w:pStyle w:val="ListBullet"/>
        <w:spacing w:after="80" w:line="280" w:lineRule="auto"/>
      </w:pPr>
      <w:r>
        <w:rPr>
          <w:rFonts w:ascii="Calibri" w:hAnsi="Calibri"/>
          <w:sz w:val="22"/>
        </w:rPr>
        <w:t>Không chạy aggregation nặng trên history cùng lúc với ingestion.</w:t>
      </w:r>
    </w:p>
    <w:p>
      <w:pPr>
        <w:pStyle w:val="ListBullet"/>
        <w:spacing w:after="80" w:line="280" w:lineRule="auto"/>
      </w:pPr>
      <w:r>
        <w:rPr>
          <w:rFonts w:ascii="Calibri" w:hAnsi="Calibri"/>
          <w:sz w:val="22"/>
        </w:rPr>
        <w:t>Không yêu cầu HA/SLA cao trong giai đoạn đầu.</w:t>
      </w:r>
    </w:p>
    <w:p>
      <w:pPr>
        <w:pStyle w:val="Heading2"/>
      </w:pPr>
      <w:r>
        <w:t>5.2. Khi nào nâng lên M20</w:t>
      </w:r>
    </w:p>
    <w:p>
      <w:pPr>
        <w:pStyle w:val="ListBullet"/>
        <w:spacing w:after="80" w:line="280" w:lineRule="auto"/>
      </w:pPr>
      <w:r>
        <w:rPr>
          <w:rFonts w:ascii="Calibri" w:hAnsi="Calibri"/>
          <w:sz w:val="22"/>
        </w:rPr>
        <w:t>CPU/RAM của M10 thường xuyên cao trong giờ hoạt động hoặc latency ghi tăng.</w:t>
      </w:r>
    </w:p>
    <w:p>
      <w:pPr>
        <w:pStyle w:val="ListBullet"/>
        <w:spacing w:after="80" w:line="280" w:lineRule="auto"/>
      </w:pPr>
      <w:r>
        <w:rPr>
          <w:rFonts w:ascii="Calibri" w:hAnsi="Calibri"/>
          <w:sz w:val="22"/>
        </w:rPr>
        <w:t>Worker bị backlog sau burst RFID dù batch write đã tối ưu.</w:t>
      </w:r>
    </w:p>
    <w:p>
      <w:pPr>
        <w:pStyle w:val="ListBullet"/>
        <w:spacing w:after="80" w:line="280" w:lineRule="auto"/>
      </w:pPr>
      <w:r>
        <w:rPr>
          <w:rFonts w:ascii="Calibri" w:hAnsi="Calibri"/>
          <w:sz w:val="22"/>
        </w:rPr>
        <w:t>Timeline theo tag/device hoặc reporting có slow query dù index đã đúng.</w:t>
      </w:r>
    </w:p>
    <w:p>
      <w:pPr>
        <w:pStyle w:val="ListBullet"/>
        <w:spacing w:after="80" w:line="280" w:lineRule="auto"/>
      </w:pPr>
      <w:r>
        <w:rPr>
          <w:rFonts w:ascii="Calibri" w:hAnsi="Calibri"/>
          <w:sz w:val="22"/>
        </w:rPr>
        <w:t>Dữ liệu/index thường xuyên vượt 70–75% mức provisioned storage.</w:t>
      </w:r>
    </w:p>
    <w:p>
      <w:pPr>
        <w:pStyle w:val="Heading1"/>
      </w:pPr>
      <w:r>
        <w:t>6. Retention, TTL và tối ưu chi phí</w:t>
      </w:r>
    </w:p>
    <w:p>
      <w:pPr>
        <w:spacing w:before="0" w:after="120" w:line="264" w:lineRule="auto"/>
      </w:pPr>
      <w:r>
        <w:rPr>
          <w:rFonts w:ascii="Calibri" w:hAnsi="Calibri"/>
          <w:i w:val="0"/>
          <w:sz w:val="22"/>
        </w:rPr>
        <w:t>Không nên chạy job “clear” thủ công theo kiểu delete hàng loạt không kiểm soát. Schema đã dự kiến field expireAtUtc; hãy để mỗi document có thời điểm hết hạn và tạo TTL index để MongoDB tự dọn dữ liệu sau 14 ngày.</w:t>
      </w:r>
    </w:p>
    <w:p>
      <w:pPr>
        <w:spacing w:before="0" w:after="120" w:line="264" w:lineRule="auto"/>
      </w:pPr>
      <w:r>
        <w:rPr>
          <w:rFonts w:ascii="Calibri" w:hAnsi="Calibri"/>
          <w:i w:val="0"/>
          <w:sz w:val="22"/>
        </w:rPr>
        <w:t>Ví dụ logic: expireAtUtc = occurredAtUtc + 14 ngày. Riêng ingestion_failures hoặc event được đánh dấu cần điều tra có thể dùng retention dài hơn hoặc archive sang Azure Blob Storage trước khi hết hạn.</w:t>
      </w:r>
    </w:p>
    <w:tbl>
      <w:tblPr>
        <w:tblStyle w:val="TableGrid"/>
        <w:tblW w:type="dxa" w:w="9360"/>
        <w:jc w:val="left"/>
        <w:tblLayout w:type="fixed"/>
        <w:tblLook w:firstColumn="1" w:firstRow="1" w:lastColumn="0" w:lastRow="0" w:noHBand="0" w:noVBand="1" w:val="04A0"/>
        <w:tblInd w:w="120" w:type="dxa"/>
      </w:tblPr>
      <w:tblGrid>
        <w:gridCol w:w="2520"/>
        <w:gridCol w:w="6840"/>
      </w:tblGrid>
      <w:tr>
        <w:trPr>
          <w:tblHeader w:val="true"/>
        </w:trPr>
        <w:tc>
          <w:tcPr>
            <w:tcW w:type="dxa" w:w="2520"/>
            <w:tcMar>
              <w:top w:w="80" w:type="dxa"/>
              <w:start w:w="120" w:type="dxa"/>
              <w:bottom w:w="80" w:type="dxa"/>
              <w:end w:w="120" w:type="dxa"/>
            </w:tcMar>
            <w:vAlign w:val="center"/>
            <w:shd w:fill="E8EEF5"/>
          </w:tcPr>
          <w:p>
            <w:pPr>
              <w:spacing w:after="0"/>
            </w:pPr>
            <w:r>
              <w:rPr>
                <w:rFonts w:ascii="Calibri" w:hAnsi="Calibri"/>
                <w:b/>
                <w:color w:val="0B2545"/>
                <w:sz w:val="20"/>
              </w:rPr>
              <w:t>Mục tiêu</w:t>
            </w:r>
          </w:p>
        </w:tc>
        <w:tc>
          <w:tcPr>
            <w:tcW w:type="dxa" w:w="6840"/>
            <w:tcMar>
              <w:top w:w="80" w:type="dxa"/>
              <w:start w:w="120" w:type="dxa"/>
              <w:bottom w:w="80" w:type="dxa"/>
              <w:end w:w="120" w:type="dxa"/>
            </w:tcMar>
            <w:vAlign w:val="center"/>
            <w:shd w:fill="E8EEF5"/>
          </w:tcPr>
          <w:p>
            <w:pPr>
              <w:spacing w:after="0"/>
            </w:pPr>
            <w:r>
              <w:rPr>
                <w:rFonts w:ascii="Calibri" w:hAnsi="Calibri"/>
                <w:b/>
                <w:color w:val="0B2545"/>
                <w:sz w:val="20"/>
              </w:rPr>
              <w:t>Cách thực hiện</w:t>
            </w:r>
          </w:p>
        </w:tc>
      </w:tr>
      <w:tr>
        <w:trPr>
          <w:cantSplit/>
        </w:trPr>
        <w:tc>
          <w:tcPr>
            <w:tcW w:type="dxa" w:w="2520"/>
          </w:tcPr>
          <w:p>
            <w:pPr>
              <w:spacing w:after="0"/>
            </w:pPr>
            <w:r>
              <w:rPr>
                <w:rFonts w:ascii="Calibri" w:hAnsi="Calibri"/>
                <w:sz w:val="20"/>
              </w:rPr>
              <w:t>Giảm storage/index</w:t>
            </w:r>
          </w:p>
        </w:tc>
        <w:tc>
          <w:tcPr>
            <w:tcW w:type="dxa" w:w="6840"/>
          </w:tcPr>
          <w:p>
            <w:pPr>
              <w:spacing w:after="0"/>
            </w:pPr>
            <w:r>
              <w:rPr>
                <w:rFonts w:ascii="Calibri" w:hAnsi="Calibri"/>
                <w:sz w:val="20"/>
              </w:rPr>
              <w:t>TTL index trên expireAtUtc; tách retention của history và ingestion failures.</w:t>
            </w:r>
          </w:p>
        </w:tc>
      </w:tr>
      <w:tr>
        <w:trPr>
          <w:cantSplit/>
        </w:trPr>
        <w:tc>
          <w:tcPr>
            <w:tcW w:type="dxa" w:w="2520"/>
          </w:tcPr>
          <w:p>
            <w:pPr>
              <w:spacing w:after="0"/>
            </w:pPr>
            <w:r>
              <w:rPr>
                <w:rFonts w:ascii="Calibri" w:hAnsi="Calibri"/>
                <w:sz w:val="20"/>
              </w:rPr>
              <w:t>Giảm áp lực ghi</w:t>
            </w:r>
          </w:p>
        </w:tc>
        <w:tc>
          <w:tcPr>
            <w:tcW w:type="dxa" w:w="6840"/>
          </w:tcPr>
          <w:p>
            <w:pPr>
              <w:spacing w:after="0"/>
            </w:pPr>
            <w:r>
              <w:rPr>
                <w:rFonts w:ascii="Calibri" w:hAnsi="Calibri"/>
                <w:sz w:val="20"/>
              </w:rPr>
              <w:t>Bulk write theo batch, retry idempotent dựa trên unique eventId.</w:t>
            </w:r>
          </w:p>
        </w:tc>
      </w:tr>
      <w:tr>
        <w:trPr>
          <w:cantSplit/>
        </w:trPr>
        <w:tc>
          <w:tcPr>
            <w:tcW w:type="dxa" w:w="2520"/>
          </w:tcPr>
          <w:p>
            <w:pPr>
              <w:spacing w:after="0"/>
            </w:pPr>
            <w:r>
              <w:rPr>
                <w:rFonts w:ascii="Calibri" w:hAnsi="Calibri"/>
                <w:sz w:val="20"/>
              </w:rPr>
              <w:t>Giảm query nặng</w:t>
            </w:r>
          </w:p>
        </w:tc>
        <w:tc>
          <w:tcPr>
            <w:tcW w:type="dxa" w:w="6840"/>
          </w:tcPr>
          <w:p>
            <w:pPr>
              <w:spacing w:after="0"/>
            </w:pPr>
            <w:r>
              <w:rPr>
                <w:rFonts w:ascii="Calibri" w:hAnsi="Calibri"/>
                <w:sz w:val="20"/>
              </w:rPr>
              <w:t>Filter thời gian bắt buộc, phân trang; đọc dashboard từ projection thay vì scan history.</w:t>
            </w:r>
          </w:p>
        </w:tc>
      </w:tr>
      <w:tr>
        <w:trPr>
          <w:cantSplit/>
        </w:trPr>
        <w:tc>
          <w:tcPr>
            <w:tcW w:type="dxa" w:w="2520"/>
          </w:tcPr>
          <w:p>
            <w:pPr>
              <w:spacing w:after="0"/>
            </w:pPr>
            <w:r>
              <w:rPr>
                <w:rFonts w:ascii="Calibri" w:hAnsi="Calibri"/>
                <w:sz w:val="20"/>
              </w:rPr>
              <w:t>Giảm index dư</w:t>
            </w:r>
          </w:p>
        </w:tc>
        <w:tc>
          <w:tcPr>
            <w:tcW w:type="dxa" w:w="6840"/>
          </w:tcPr>
          <w:p>
            <w:pPr>
              <w:spacing w:after="0"/>
            </w:pPr>
            <w:r>
              <w:rPr>
                <w:rFonts w:ascii="Calibri" w:hAnsi="Calibri"/>
                <w:sz w:val="20"/>
              </w:rPr>
              <w:t>Chỉ giữ index gắn với endpoint/query được đo thực tế; benchmark trước khi thêm.</w:t>
            </w:r>
          </w:p>
        </w:tc>
      </w:tr>
      <w:tr>
        <w:trPr>
          <w:cantSplit/>
        </w:trPr>
        <w:tc>
          <w:tcPr>
            <w:tcW w:type="dxa" w:w="2520"/>
          </w:tcPr>
          <w:p>
            <w:pPr>
              <w:spacing w:after="0"/>
            </w:pPr>
            <w:r>
              <w:rPr>
                <w:rFonts w:ascii="Calibri" w:hAnsi="Calibri"/>
                <w:sz w:val="20"/>
              </w:rPr>
              <w:t>Giữ khả năng trace</w:t>
            </w:r>
          </w:p>
        </w:tc>
        <w:tc>
          <w:tcPr>
            <w:tcW w:type="dxa" w:w="6840"/>
          </w:tcPr>
          <w:p>
            <w:pPr>
              <w:spacing w:after="0"/>
            </w:pPr>
            <w:r>
              <w:rPr>
                <w:rFonts w:ascii="Calibri" w:hAnsi="Calibri"/>
                <w:sz w:val="20"/>
              </w:rPr>
              <w:t>Archive raw history quan trọng sang Blob Storage trước khi TTL nếu cần audit dài hạn.</w:t>
            </w:r>
          </w:p>
        </w:tc>
      </w:tr>
    </w:tbl>
    <w:p>
      <w:pPr>
        <w:spacing w:after="40"/>
      </w:pPr>
    </w:p>
    <w:p>
      <w:pPr>
        <w:pStyle w:val="Heading1"/>
      </w:pPr>
      <w:r>
        <w:t>7. Kế hoạch xác nhận trước khi go-live</w:t>
      </w:r>
    </w:p>
    <w:p>
      <w:pPr>
        <w:pStyle w:val="ListNumber"/>
        <w:spacing w:after="80" w:line="280" w:lineRule="auto"/>
      </w:pPr>
      <w:r>
        <w:rPr>
          <w:rFonts w:ascii="Calibri" w:hAnsi="Calibri"/>
          <w:sz w:val="22"/>
        </w:rPr>
        <w:t>Lấy mẫu 10.000–100.000 raw event thật, insert vào staging để đo BSON size trung bình và tổng index size.</w:t>
      </w:r>
    </w:p>
    <w:p>
      <w:pPr>
        <w:pStyle w:val="ListNumber"/>
        <w:spacing w:after="80" w:line="280" w:lineRule="auto"/>
      </w:pPr>
      <w:r>
        <w:rPr>
          <w:rFonts w:ascii="Calibri" w:hAnsi="Calibri"/>
          <w:sz w:val="22"/>
        </w:rPr>
        <w:t>Chạy load test với write burst giống thực tế; dùng bulk write và các index trong schema.</w:t>
      </w:r>
    </w:p>
    <w:p>
      <w:pPr>
        <w:pStyle w:val="ListNumber"/>
        <w:spacing w:after="80" w:line="280" w:lineRule="auto"/>
      </w:pPr>
      <w:r>
        <w:rPr>
          <w:rFonts w:ascii="Calibri" w:hAnsi="Calibri"/>
          <w:sz w:val="22"/>
        </w:rPr>
        <w:t>Đo p95 write latency, CPU/RAM, backlog Worker và các slow query cho timeline/report.</w:t>
      </w:r>
    </w:p>
    <w:p>
      <w:pPr>
        <w:pStyle w:val="ListNumber"/>
        <w:spacing w:after="80" w:line="280" w:lineRule="auto"/>
      </w:pPr>
      <w:r>
        <w:rPr>
          <w:rFonts w:ascii="Calibri" w:hAnsi="Calibri"/>
          <w:sz w:val="22"/>
        </w:rPr>
        <w:t>Thiết lập TTL 14 ngày, cảnh báo storage 70–75%, cảnh báo ingestion lag và persistence failure.</w:t>
      </w:r>
    </w:p>
    <w:p>
      <w:pPr>
        <w:pStyle w:val="ListNumber"/>
        <w:spacing w:after="80" w:line="280" w:lineRule="auto"/>
      </w:pPr>
      <w:r>
        <w:rPr>
          <w:rFonts w:ascii="Calibri" w:hAnsi="Calibri"/>
          <w:sz w:val="22"/>
        </w:rPr>
        <w:t>Chỉ nâng M10 lên M20 khi kết quả đo cho thấy tài nguyên hoặc latency không đạt yêu cầu.</w:t>
      </w:r>
    </w:p>
    <w:p>
      <w:pPr>
        <w:pStyle w:val="Heading1"/>
      </w:pPr>
      <w:r>
        <w:t>8. Kết luận</w:t>
      </w:r>
    </w:p>
    <w:p>
      <w:pPr>
        <w:spacing w:before="0" w:after="120" w:line="264" w:lineRule="auto"/>
      </w:pPr>
      <w:r>
        <w:rPr>
          <w:rFonts w:ascii="Calibri" w:hAnsi="Calibri"/>
          <w:i w:val="0"/>
          <w:sz w:val="22"/>
        </w:rPr>
        <w:t>Với 100.000 record/ngày và chỉ giữ khoảng 14 ngày, tải trung bình của hệ thống là nhẹ. M10 + 32 GiB có khả năng đáp ứng production giai đoạn đầu với chi phí khoảng 18–20 USD/tháng, miễn là raw event không quá lớn, index được kiểm soát và Worker xử lý burst tốt.</w:t>
      </w:r>
    </w:p>
    <w:p>
      <w:pPr>
        <w:spacing w:before="0" w:after="120" w:line="264" w:lineRule="auto"/>
      </w:pPr>
      <w:r>
        <w:rPr>
          <w:rFonts w:ascii="Calibri" w:hAnsi="Calibri"/>
          <w:i w:val="0"/>
          <w:sz w:val="22"/>
        </w:rPr>
        <w:t>Free Tier có thể chứa workload này về dung lượng nhưng không phù hợp làm production chính do các giới hạn vận hành. M30 + HA chỉ nên chọn khi hệ thống yêu cầu availability cao hoặc benchmark chứng minh M10/M20 không đáp ứng.</w:t>
      </w:r>
    </w:p>
    <w:p>
      <w:pPr>
        <w:pStyle w:val="Heading1"/>
      </w:pPr>
      <w:r>
        <w:t>Phụ lục A. Nguồn tham chiếu</w:t>
      </w:r>
    </w:p>
    <w:p>
      <w:pPr>
        <w:spacing w:before="0" w:after="80" w:line="264" w:lineRule="auto"/>
      </w:pPr>
      <w:r>
        <w:rPr>
          <w:rFonts w:ascii="Calibri" w:hAnsi="Calibri"/>
          <w:i w:val="0"/>
          <w:color w:val="666666"/>
          <w:sz w:val="22"/>
        </w:rPr>
        <w:t>Azure DocumentDB Pricing: https://azure.microsoft.com/en-us/pricing/details/documentdb/</w:t>
      </w:r>
    </w:p>
    <w:p>
      <w:pPr>
        <w:spacing w:before="0" w:after="80" w:line="264" w:lineRule="auto"/>
      </w:pPr>
      <w:r>
        <w:rPr>
          <w:rFonts w:ascii="Calibri" w:hAnsi="Calibri"/>
          <w:i w:val="0"/>
          <w:color w:val="666666"/>
          <w:sz w:val="22"/>
        </w:rPr>
        <w:t>Azure DocumentDB Free Tier: https://learn.microsoft.com/en-us/azure/documentdb/free-tier</w:t>
      </w:r>
    </w:p>
    <w:p>
      <w:pPr>
        <w:spacing w:before="0" w:after="80" w:line="264" w:lineRule="auto"/>
      </w:pPr>
      <w:r>
        <w:rPr>
          <w:rFonts w:ascii="Calibri" w:hAnsi="Calibri"/>
          <w:i w:val="0"/>
          <w:color w:val="666666"/>
          <w:sz w:val="22"/>
        </w:rPr>
        <w:t>Nguồn schema: Device Event History - MongoDB Schema V1 (22/08/2026).</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r="http://schemas.openxmlformats.org/officeDocument/2006/relationships" xmlns:v="urn:schemas-microsoft-com:vml" xmlns:o="urn:schemas-microsoft-com:office:office" xmlns:w10="urn:schemas-microsoft-com:office:word">
  <w:p>
    <w:pPr>
      <w:jc w:val="right"/>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666666"/>
        <w:sz w:val="17"/>
      </w:rPr>
      <w:t>RFID EVENT HISTORY | AZURE DOCUMENTDB COST ESTIMATE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Ước lượng chi phí Azure DocumentDB cho hệ thống RFID</dc:title>
  <dc:subject>100.000 record/ngày, retention 14 ngày</dc:subject>
  <dc:creator>OpenAI</dc:creator>
  <cp:keywords/>
  <dc:description>generated by python-docx</dc:description>
  <cp:lastModifiedBy/>
  <cp:revision>2</cp:revision>
  <dcterms:created xsi:type="dcterms:W3CDTF">2013-12-23T23:15:00Z</dcterms:created>
  <dcterms:modified xsi:type="dcterms:W3CDTF">2026-08-25T02:38:22Z</dcterms:modified>
  <cp:category/>
</cp:coreProperties>
</file>