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Context Length Research Report</w:t>
      </w:r>
    </w:p>
    <w:p>
      <w:pPr>
        <w:spacing w:after="400"/>
        <w:jc w:val="center"/>
      </w:pPr>
      <w:r>
        <w:rPr>
          <w:i/>
          <w:iCs/>
          <w:sz w:val="24"/>
          <w:szCs w:val="24"/>
        </w:rPr>
        <w:t xml:space="preserve">Dataset: uplifting_v5</w:t>
      </w:r>
    </w:p>
    <w:p>
      <w:pPr>
        <w:spacing w:after="400"/>
        <w:jc w:val="center"/>
      </w:pPr>
      <w:r>
        <w:rPr>
          <w:i/>
          <w:iCs/>
          <w:sz w:val="22"/>
          <w:szCs w:val="22"/>
        </w:rPr>
        <w:t xml:space="preserve">Generated: 2025-01-26</w:t>
      </w:r>
    </w:p>
    <w:p>
      <w:pPr>
        <w:pStyle w:val="Heading1"/>
      </w:pPr>
      <w:r>
        <w:t xml:space="preserve">Executive Summary</w:t>
      </w:r>
    </w:p>
    <w:p>
      <w:pPr>
        <w:spacing w:after="200"/>
      </w:pPr>
      <w:r>
        <w:t xml:space="preserve">This report documents experiments with different context lengths for fine-tuning Qwen2.5-1.5B on the uplifting_v5 dataset. The research question: Can we improve model quality by using longer context windows, and what is the optimal trade-off between quality and inference cost?</w:t>
      </w:r>
    </w:p>
    <w:p>
      <w:pPr>
        <w:spacing w:after="200"/>
      </w:pPr>
      <w:r>
        <w:rPr>
          <w:b/>
          <w:bCs/>
        </w:rPr>
        <w:t xml:space="preserve">Key Findings:</w:t>
      </w:r>
    </w:p>
    <w:p>
      <w:pPr>
        <w:pStyle w:val="ListParagraph"/>
        <w:numPr>
          <w:ilvl w:val="0"/>
          <w:numId w:val="2"/>
        </w:numPr>
      </w:pPr>
      <w:r>
        <w:t xml:space="preserve">Baseline (512 tokens): MAE 0.680</w:t>
      </w:r>
    </w:p>
    <w:p>
      <w:pPr>
        <w:pStyle w:val="ListParagraph"/>
        <w:numPr>
          <w:ilvl w:val="0"/>
          <w:numId w:val="2"/>
        </w:numPr>
      </w:pPr>
      <w:r>
        <w:t xml:space="preserve">1024 tokens: MAE 0.652 (-4.1%)</w:t>
      </w:r>
    </w:p>
    <w:p>
      <w:pPr>
        <w:pStyle w:val="ListParagraph"/>
        <w:numPr>
          <w:ilvl w:val="0"/>
          <w:numId w:val="2"/>
        </w:numPr>
      </w:pPr>
      <w:r>
        <w:t xml:space="preserve">2048 tokens: MAE 0.627 (-7.8%)</w:t>
      </w:r>
    </w:p>
    <w:p>
      <w:pPr>
        <w:pStyle w:val="ListParagraph"/>
        <w:numPr>
          <w:ilvl w:val="0"/>
          <w:numId w:val="2"/>
        </w:numPr>
      </w:pPr>
      <w:r>
        <w:rPr>
          <w:b/>
          <w:bCs/>
        </w:rPr>
        <w:t xml:space="preserve">Head+Tail (256+256): MAE 0.655 (-3.7%) with baseline inference speed</w:t>
      </w:r>
    </w:p>
    <w:p>
      <w:pPr>
        <w:spacing w:before="200" w:after="200"/>
      </w:pPr>
      <w:r>
        <w:rPr>
          <w:b/>
          <w:bCs/>
        </w:rPr>
        <w:t xml:space="preserve">Recommendation: </w:t>
      </w:r>
      <w:r>
        <w:t xml:space="preserve">Use head+tail extraction for production. It achieves nearly the same quality as 1024-token training while maintaining baseline inference speed.</w:t>
      </w:r>
    </w:p>
    <w:p>
      <w:pPr>
        <w:pStyle w:val="Heading1"/>
      </w:pPr>
      <w:r>
        <w:t xml:space="preserve">Motivation</w:t>
      </w:r>
    </w:p>
    <w:p>
      <w:pPr>
        <w:spacing w:after="200"/>
      </w:pPr>
      <w:r>
        <w:t xml:space="preserve">Qwen2.5-1.5B supports up to 128K tokens, but our baseline training used only 512 tokens. This was discovered to cause significant truncation of longer articles, potentially losing important information about outcomes and conclusions that typically appear at the end of news articles.</w:t>
      </w:r>
    </w:p>
    <w:p>
      <w:pPr>
        <w:pStyle w:val="Heading1"/>
      </w:pPr>
      <w:r>
        <w:t xml:space="preserve">Article Length Analysis</w:t>
      </w:r>
    </w:p>
    <w:p>
      <w:pPr>
        <w:spacing w:after="200"/>
      </w:pPr>
      <w:r>
        <w:t xml:space="preserve">Analysis of the uplifting_v5 training dataset reveals that high-scoring articles tend to be longer, making truncation particularly problematic for quality content.</w:t>
      </w:r>
    </w:p>
    <w:p>
      <w:pPr>
        <w:pStyle w:val="Heading2"/>
      </w:pPr>
      <w:r>
        <w:t xml:space="preserve">Length Distribution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Length Category</w:t>
            </w:r>
          </w:p>
        </w:tc>
        <w:tc>
          <w:tcPr>
            <w:tcW w:type="dxa" w:w="234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 of Articles</w:t>
            </w:r>
          </w:p>
        </w:tc>
        <w:tc>
          <w:tcPr>
            <w:tcW w:type="dxa" w:w="234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 of High-Scorers (≥6)</w:t>
            </w:r>
          </w:p>
        </w:tc>
        <w:tc>
          <w:tcPr>
            <w:tcW w:type="dxa" w:w="234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Truncated at 512</w:t>
            </w:r>
          </w:p>
        </w:tc>
      </w:tr>
      <w:tr>
        <w:tc>
          <w:tcPr>
            <w:tcW w:type="dxa" w:w="2340"/>
            <w:tcBorders>
              <w:top w:val="single" w:color="CCCCCC" w:sz="1"/>
              <w:left w:val="single" w:color="CCCCCC" w:sz="1"/>
              <w:bottom w:val="single" w:color="CCCCCC" w:sz="1"/>
              <w:right w:val="single" w:color="CCCCCC" w:sz="1"/>
            </w:tcBorders>
          </w:tcPr>
          <w:p>
            <w:pPr>
              <w:jc w:val="left"/>
            </w:pPr>
            <w:r>
              <w:rPr>
                <w:sz w:val="22"/>
                <w:szCs w:val="22"/>
              </w:rPr>
              <w:t xml:space="preserve">≤ 512 tokens</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77.7%</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43%</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No</w:t>
            </w:r>
          </w:p>
        </w:tc>
      </w:tr>
      <w:tr>
        <w:tc>
          <w:tcPr>
            <w:tcW w:type="dxa" w:w="2340"/>
            <w:tcBorders>
              <w:top w:val="single" w:color="CCCCCC" w:sz="1"/>
              <w:left w:val="single" w:color="CCCCCC" w:sz="1"/>
              <w:bottom w:val="single" w:color="CCCCCC" w:sz="1"/>
              <w:right w:val="single" w:color="CCCCCC" w:sz="1"/>
            </w:tcBorders>
          </w:tcPr>
          <w:p>
            <w:pPr>
              <w:jc w:val="left"/>
            </w:pPr>
            <w:r>
              <w:rPr>
                <w:sz w:val="22"/>
                <w:szCs w:val="22"/>
              </w:rPr>
              <w:t xml:space="preserve">512-1024 tokens</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12.0%</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49%</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Yes</w:t>
            </w:r>
          </w:p>
        </w:tc>
      </w:tr>
      <w:tr>
        <w:tc>
          <w:tcPr>
            <w:tcW w:type="dxa" w:w="2340"/>
            <w:tcBorders>
              <w:top w:val="single" w:color="CCCCCC" w:sz="1"/>
              <w:left w:val="single" w:color="CCCCCC" w:sz="1"/>
              <w:bottom w:val="single" w:color="CCCCCC" w:sz="1"/>
              <w:right w:val="single" w:color="CCCCCC" w:sz="1"/>
            </w:tcBorders>
          </w:tcPr>
          <w:p>
            <w:pPr>
              <w:jc w:val="left"/>
            </w:pPr>
            <w:r>
              <w:rPr>
                <w:sz w:val="22"/>
                <w:szCs w:val="22"/>
              </w:rPr>
              <w:t xml:space="preserve">1024-2048 tokens</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8.6%</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7.5%</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Yes</w:t>
            </w:r>
          </w:p>
        </w:tc>
      </w:tr>
      <w:tr>
        <w:tc>
          <w:tcPr>
            <w:tcW w:type="dxa" w:w="2340"/>
            <w:tcBorders>
              <w:top w:val="single" w:color="CCCCCC" w:sz="1"/>
              <w:left w:val="single" w:color="CCCCCC" w:sz="1"/>
              <w:bottom w:val="single" w:color="CCCCCC" w:sz="1"/>
              <w:right w:val="single" w:color="CCCCCC" w:sz="1"/>
            </w:tcBorders>
          </w:tcPr>
          <w:p>
            <w:pPr>
              <w:jc w:val="left"/>
            </w:pPr>
            <w:r>
              <w:rPr>
                <w:sz w:val="22"/>
                <w:szCs w:val="22"/>
              </w:rPr>
              <w:t xml:space="preserve">&gt; 2048 tokens</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1.7%</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0%</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Yes</w:t>
            </w:r>
          </w:p>
        </w:tc>
      </w:tr>
    </w:tbl>
    <w:p>
      <w:pPr>
        <w:spacing w:before="200" w:after="200"/>
      </w:pPr>
      <w:r>
        <w:rPr>
          <w:b/>
          <w:bCs/>
        </w:rPr>
        <w:t xml:space="preserve">Critical insight: </w:t>
      </w:r>
      <w:r>
        <w:t xml:space="preserve">High-scoring articles tend to be longer. At 512 tokens, 56.9% of high-scorers are truncated, potentially losing crucial information about documented outcomes.</w:t>
      </w:r>
    </w:p>
    <w:p>
      <w:pPr>
        <w:pStyle w:val="Heading2"/>
      </w:pPr>
      <w:r>
        <w:t xml:space="preserve">Truncation Impact on High-Scorers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Context Limit</w:t>
            </w:r>
          </w:p>
        </w:tc>
        <w:tc>
          <w:tcPr>
            <w:tcW w:type="dxa" w:w="468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High-Scorers Truncated</w:t>
            </w:r>
          </w:p>
        </w:tc>
      </w:tr>
      <w:tr>
        <w:tc>
          <w:tcPr>
            <w:tcW w:type="dxa" w:w="4680"/>
            <w:tcBorders>
              <w:top w:val="single" w:color="CCCCCC" w:sz="1"/>
              <w:left w:val="single" w:color="CCCCCC" w:sz="1"/>
              <w:bottom w:val="single" w:color="CCCCCC" w:sz="1"/>
              <w:right w:val="single" w:color="CCCCCC" w:sz="1"/>
            </w:tcBorders>
          </w:tcPr>
          <w:p>
            <w:pPr>
              <w:jc w:val="left"/>
            </w:pPr>
            <w:r>
              <w:rPr>
                <w:sz w:val="22"/>
                <w:szCs w:val="22"/>
              </w:rPr>
              <w:t xml:space="preserve">512 tokens</w:t>
            </w:r>
          </w:p>
        </w:tc>
        <w:tc>
          <w:tcPr>
            <w:tcW w:type="dxa" w:w="4680"/>
            <w:tcBorders>
              <w:top w:val="single" w:color="CCCCCC" w:sz="1"/>
              <w:left w:val="single" w:color="CCCCCC" w:sz="1"/>
              <w:bottom w:val="single" w:color="CCCCCC" w:sz="1"/>
              <w:right w:val="single" w:color="CCCCCC" w:sz="1"/>
            </w:tcBorders>
          </w:tcPr>
          <w:p>
            <w:pPr>
              <w:jc w:val="center"/>
            </w:pPr>
            <w:r>
              <w:rPr>
                <w:sz w:val="22"/>
                <w:szCs w:val="22"/>
              </w:rPr>
              <w:t xml:space="preserve">56.9%</w:t>
            </w:r>
          </w:p>
        </w:tc>
      </w:tr>
      <w:tr>
        <w:tc>
          <w:tcPr>
            <w:tcW w:type="dxa" w:w="4680"/>
            <w:tcBorders>
              <w:top w:val="single" w:color="CCCCCC" w:sz="1"/>
              <w:left w:val="single" w:color="CCCCCC" w:sz="1"/>
              <w:bottom w:val="single" w:color="CCCCCC" w:sz="1"/>
              <w:right w:val="single" w:color="CCCCCC" w:sz="1"/>
            </w:tcBorders>
          </w:tcPr>
          <w:p>
            <w:pPr>
              <w:jc w:val="left"/>
            </w:pPr>
            <w:r>
              <w:rPr>
                <w:sz w:val="22"/>
                <w:szCs w:val="22"/>
              </w:rPr>
              <w:t xml:space="preserve">1024 tokens</w:t>
            </w:r>
          </w:p>
        </w:tc>
        <w:tc>
          <w:tcPr>
            <w:tcW w:type="dxa" w:w="4680"/>
            <w:tcBorders>
              <w:top w:val="single" w:color="CCCCCC" w:sz="1"/>
              <w:left w:val="single" w:color="CCCCCC" w:sz="1"/>
              <w:bottom w:val="single" w:color="CCCCCC" w:sz="1"/>
              <w:right w:val="single" w:color="CCCCCC" w:sz="1"/>
            </w:tcBorders>
          </w:tcPr>
          <w:p>
            <w:pPr>
              <w:jc w:val="center"/>
            </w:pPr>
            <w:r>
              <w:rPr>
                <w:sz w:val="22"/>
                <w:szCs w:val="22"/>
              </w:rPr>
              <w:t xml:space="preserve">31.6%</w:t>
            </w:r>
          </w:p>
        </w:tc>
      </w:tr>
      <w:tr>
        <w:tc>
          <w:tcPr>
            <w:tcW w:type="dxa" w:w="4680"/>
            <w:tcBorders>
              <w:top w:val="single" w:color="CCCCCC" w:sz="1"/>
              <w:left w:val="single" w:color="CCCCCC" w:sz="1"/>
              <w:bottom w:val="single" w:color="CCCCCC" w:sz="1"/>
              <w:right w:val="single" w:color="CCCCCC" w:sz="1"/>
            </w:tcBorders>
          </w:tcPr>
          <w:p>
            <w:pPr>
              <w:jc w:val="left"/>
            </w:pPr>
            <w:r>
              <w:rPr>
                <w:sz w:val="22"/>
                <w:szCs w:val="22"/>
              </w:rPr>
              <w:t xml:space="preserve">2048 tokens</w:t>
            </w:r>
          </w:p>
        </w:tc>
        <w:tc>
          <w:tcPr>
            <w:tcW w:type="dxa" w:w="4680"/>
            <w:tcBorders>
              <w:top w:val="single" w:color="CCCCCC" w:sz="1"/>
              <w:left w:val="single" w:color="CCCCCC" w:sz="1"/>
              <w:bottom w:val="single" w:color="CCCCCC" w:sz="1"/>
              <w:right w:val="single" w:color="CCCCCC" w:sz="1"/>
            </w:tcBorders>
          </w:tcPr>
          <w:p>
            <w:pPr>
              <w:jc w:val="center"/>
            </w:pPr>
            <w:r>
              <w:rPr>
                <w:sz w:val="22"/>
                <w:szCs w:val="22"/>
              </w:rPr>
              <w:t xml:space="preserve">7.5%</w:t>
            </w:r>
          </w:p>
        </w:tc>
      </w:tr>
      <w:tr>
        <w:tc>
          <w:tcPr>
            <w:tcW w:type="dxa" w:w="4680"/>
            <w:tcBorders>
              <w:top w:val="single" w:color="CCCCCC" w:sz="1"/>
              <w:left w:val="single" w:color="CCCCCC" w:sz="1"/>
              <w:bottom w:val="single" w:color="CCCCCC" w:sz="1"/>
              <w:right w:val="single" w:color="CCCCCC" w:sz="1"/>
            </w:tcBorders>
          </w:tcPr>
          <w:p>
            <w:pPr>
              <w:jc w:val="left"/>
            </w:pPr>
            <w:r>
              <w:rPr>
                <w:sz w:val="22"/>
                <w:szCs w:val="22"/>
              </w:rPr>
              <w:t xml:space="preserve">4096 tokens</w:t>
            </w:r>
          </w:p>
        </w:tc>
        <w:tc>
          <w:tcPr>
            <w:tcW w:type="dxa" w:w="4680"/>
            <w:tcBorders>
              <w:top w:val="single" w:color="CCCCCC" w:sz="1"/>
              <w:left w:val="single" w:color="CCCCCC" w:sz="1"/>
              <w:bottom w:val="single" w:color="CCCCCC" w:sz="1"/>
              <w:right w:val="single" w:color="CCCCCC" w:sz="1"/>
            </w:tcBorders>
          </w:tcPr>
          <w:p>
            <w:pPr>
              <w:jc w:val="center"/>
            </w:pPr>
            <w:r>
              <w:rPr>
                <w:sz w:val="22"/>
                <w:szCs w:val="22"/>
              </w:rPr>
              <w:t xml:space="preserve">0.0%</w:t>
            </w:r>
          </w:p>
        </w:tc>
      </w:tr>
    </w:tbl>
    <w:p>
      <w:r>
        <w:br w:type="page"/>
      </w:r>
    </w:p>
    <w:p>
      <w:pPr>
        <w:pStyle w:val="Heading1"/>
      </w:pPr>
      <w:r>
        <w:t xml:space="preserve">Methodology</w:t>
      </w:r>
    </w:p>
    <w:p>
      <w:pPr>
        <w:pStyle w:val="Heading2"/>
      </w:pPr>
      <w:r>
        <w:t xml:space="preserve">Training Configuration</w:t>
      </w:r>
    </w:p>
    <w:p>
      <w:pPr>
        <w:spacing w:after="200"/>
      </w:pPr>
      <w:r>
        <w:t xml:space="preserve">All experiments used identical training configuration except for context length and batch size (adjusted for GPU memory):</w:t>
      </w:r>
    </w:p>
    <w:p>
      <w:pPr>
        <w:pStyle w:val="ListParagraph"/>
        <w:numPr>
          <w:ilvl w:val="0"/>
          <w:numId w:val="2"/>
        </w:numPr>
      </w:pPr>
      <w:r>
        <w:t xml:space="preserve">Model: Qwen/Qwen2.5-1.5B with LoRA (1.18% trainable parameters)</w:t>
      </w:r>
    </w:p>
    <w:p>
      <w:pPr>
        <w:pStyle w:val="ListParagraph"/>
        <w:numPr>
          <w:ilvl w:val="0"/>
          <w:numId w:val="2"/>
        </w:numPr>
      </w:pPr>
      <w:r>
        <w:t xml:space="preserve">Training data: 7,999 articles, Validation: 1,000 articles</w:t>
      </w:r>
    </w:p>
    <w:p>
      <w:pPr>
        <w:pStyle w:val="ListParagraph"/>
        <w:numPr>
          <w:ilvl w:val="0"/>
          <w:numId w:val="2"/>
        </w:numPr>
      </w:pPr>
      <w:r>
        <w:t xml:space="preserve">Epochs: 3</w:t>
      </w:r>
    </w:p>
    <w:p>
      <w:pPr>
        <w:pStyle w:val="ListParagraph"/>
        <w:numPr>
          <w:ilvl w:val="0"/>
          <w:numId w:val="2"/>
        </w:numPr>
      </w:pPr>
      <w:r>
        <w:t xml:space="preserve">Learning rate: 2e-05</w:t>
      </w:r>
    </w:p>
    <w:p>
      <w:pPr>
        <w:pStyle w:val="ListParagraph"/>
        <w:numPr>
          <w:ilvl w:val="0"/>
          <w:numId w:val="2"/>
        </w:numPr>
      </w:pPr>
      <w:r>
        <w:t xml:space="preserve">Warmup steps: 500</w:t>
      </w:r>
    </w:p>
    <w:p>
      <w:pPr>
        <w:pStyle w:val="ListParagraph"/>
        <w:numPr>
          <w:ilvl w:val="0"/>
          <w:numId w:val="2"/>
        </w:numPr>
      </w:pPr>
      <w:r>
        <w:t xml:space="preserve">GPU: 16GB VRAM</w:t>
      </w:r>
    </w:p>
    <w:p>
      <w:pPr>
        <w:pStyle w:val="Heading2"/>
      </w:pPr>
      <w:r>
        <w:t xml:space="preserve">Experiments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Experiment</w:t>
            </w:r>
          </w:p>
        </w:tc>
        <w:tc>
          <w:tcPr>
            <w:tcW w:type="dxa" w:w="234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Max Length</w:t>
            </w:r>
          </w:p>
        </w:tc>
        <w:tc>
          <w:tcPr>
            <w:tcW w:type="dxa" w:w="234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Batch Size</w:t>
            </w:r>
          </w:p>
        </w:tc>
        <w:tc>
          <w:tcPr>
            <w:tcW w:type="dxa" w:w="234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Description</w:t>
            </w:r>
          </w:p>
        </w:tc>
      </w:tr>
      <w:tr>
        <w:tc>
          <w:tcPr>
            <w:tcW w:type="dxa" w:w="2340"/>
            <w:tcBorders>
              <w:top w:val="single" w:color="CCCCCC" w:sz="1"/>
              <w:left w:val="single" w:color="CCCCCC" w:sz="1"/>
              <w:bottom w:val="single" w:color="CCCCCC" w:sz="1"/>
              <w:right w:val="single" w:color="CCCCCC" w:sz="1"/>
            </w:tcBorders>
          </w:tcPr>
          <w:p>
            <w:pPr>
              <w:jc w:val="left"/>
            </w:pPr>
            <w:r>
              <w:rPr>
                <w:sz w:val="22"/>
                <w:szCs w:val="22"/>
              </w:rPr>
              <w:t xml:space="preserve">Baseline</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512</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8</w:t>
            </w:r>
          </w:p>
        </w:tc>
        <w:tc>
          <w:tcPr>
            <w:tcW w:type="dxa" w:w="2340"/>
            <w:tcBorders>
              <w:top w:val="single" w:color="CCCCCC" w:sz="1"/>
              <w:left w:val="single" w:color="CCCCCC" w:sz="1"/>
              <w:bottom w:val="single" w:color="CCCCCC" w:sz="1"/>
              <w:right w:val="single" w:color="CCCCCC" w:sz="1"/>
            </w:tcBorders>
          </w:tcPr>
          <w:p>
            <w:pPr>
              <w:jc w:val="left"/>
            </w:pPr>
            <w:r>
              <w:rPr>
                <w:sz w:val="22"/>
                <w:szCs w:val="22"/>
              </w:rPr>
              <w:t xml:space="preserve">Standard truncation</w:t>
            </w:r>
          </w:p>
        </w:tc>
      </w:tr>
      <w:tr>
        <w:tc>
          <w:tcPr>
            <w:tcW w:type="dxa" w:w="2340"/>
            <w:tcBorders>
              <w:top w:val="single" w:color="CCCCCC" w:sz="1"/>
              <w:left w:val="single" w:color="CCCCCC" w:sz="1"/>
              <w:bottom w:val="single" w:color="CCCCCC" w:sz="1"/>
              <w:right w:val="single" w:color="CCCCCC" w:sz="1"/>
            </w:tcBorders>
          </w:tcPr>
          <w:p>
            <w:pPr>
              <w:jc w:val="left"/>
            </w:pPr>
            <w:r>
              <w:rPr>
                <w:sz w:val="22"/>
                <w:szCs w:val="22"/>
              </w:rPr>
              <w:t xml:space="preserve">1024tok</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1024</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4</w:t>
            </w:r>
          </w:p>
        </w:tc>
        <w:tc>
          <w:tcPr>
            <w:tcW w:type="dxa" w:w="2340"/>
            <w:tcBorders>
              <w:top w:val="single" w:color="CCCCCC" w:sz="1"/>
              <w:left w:val="single" w:color="CCCCCC" w:sz="1"/>
              <w:bottom w:val="single" w:color="CCCCCC" w:sz="1"/>
              <w:right w:val="single" w:color="CCCCCC" w:sz="1"/>
            </w:tcBorders>
          </w:tcPr>
          <w:p>
            <w:pPr>
              <w:jc w:val="left"/>
            </w:pPr>
            <w:r>
              <w:rPr>
                <w:sz w:val="22"/>
                <w:szCs w:val="22"/>
              </w:rPr>
              <w:t xml:space="preserve">2x context</w:t>
            </w:r>
          </w:p>
        </w:tc>
      </w:tr>
      <w:tr>
        <w:tc>
          <w:tcPr>
            <w:tcW w:type="dxa" w:w="2340"/>
            <w:tcBorders>
              <w:top w:val="single" w:color="CCCCCC" w:sz="1"/>
              <w:left w:val="single" w:color="CCCCCC" w:sz="1"/>
              <w:bottom w:val="single" w:color="CCCCCC" w:sz="1"/>
              <w:right w:val="single" w:color="CCCCCC" w:sz="1"/>
            </w:tcBorders>
          </w:tcPr>
          <w:p>
            <w:pPr>
              <w:jc w:val="left"/>
            </w:pPr>
            <w:r>
              <w:rPr>
                <w:sz w:val="22"/>
                <w:szCs w:val="22"/>
              </w:rPr>
              <w:t xml:space="preserve">2048tok</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2048</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1</w:t>
            </w:r>
          </w:p>
        </w:tc>
        <w:tc>
          <w:tcPr>
            <w:tcW w:type="dxa" w:w="2340"/>
            <w:tcBorders>
              <w:top w:val="single" w:color="CCCCCC" w:sz="1"/>
              <w:left w:val="single" w:color="CCCCCC" w:sz="1"/>
              <w:bottom w:val="single" w:color="CCCCCC" w:sz="1"/>
              <w:right w:val="single" w:color="CCCCCC" w:sz="1"/>
            </w:tcBorders>
          </w:tcPr>
          <w:p>
            <w:pPr>
              <w:jc w:val="left"/>
            </w:pPr>
            <w:r>
              <w:rPr>
                <w:sz w:val="22"/>
                <w:szCs w:val="22"/>
              </w:rPr>
              <w:t xml:space="preserve">4x context</w:t>
            </w:r>
          </w:p>
        </w:tc>
      </w:tr>
      <w:tr>
        <w:tc>
          <w:tcPr>
            <w:tcW w:type="dxa" w:w="2340"/>
            <w:tcBorders>
              <w:top w:val="single" w:color="CCCCCC" w:sz="1"/>
              <w:left w:val="single" w:color="CCCCCC" w:sz="1"/>
              <w:bottom w:val="single" w:color="CCCCCC" w:sz="1"/>
              <w:right w:val="single" w:color="CCCCCC" w:sz="1"/>
            </w:tcBorders>
          </w:tcPr>
          <w:p>
            <w:pPr>
              <w:jc w:val="left"/>
            </w:pPr>
            <w:r>
              <w:rPr>
                <w:b/>
                <w:bCs/>
                <w:sz w:val="22"/>
                <w:szCs w:val="22"/>
              </w:rPr>
              <w:t xml:space="preserve">head_tail</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512 (256+256)</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4</w:t>
            </w:r>
          </w:p>
        </w:tc>
        <w:tc>
          <w:tcPr>
            <w:tcW w:type="dxa" w:w="2340"/>
            <w:tcBorders>
              <w:top w:val="single" w:color="CCCCCC" w:sz="1"/>
              <w:left w:val="single" w:color="CCCCCC" w:sz="1"/>
              <w:bottom w:val="single" w:color="CCCCCC" w:sz="1"/>
              <w:right w:val="single" w:color="CCCCCC" w:sz="1"/>
            </w:tcBorders>
          </w:tcPr>
          <w:p>
            <w:pPr>
              <w:jc w:val="left"/>
            </w:pPr>
            <w:r>
              <w:rPr>
                <w:sz w:val="22"/>
                <w:szCs w:val="22"/>
              </w:rPr>
              <w:t xml:space="preserve">First + last tokens</w:t>
            </w:r>
          </w:p>
        </w:tc>
      </w:tr>
    </w:tbl>
    <w:p>
      <w:pPr>
        <w:pStyle w:val="Heading2"/>
      </w:pPr>
      <w:r>
        <w:t xml:space="preserve">Head+Tail Extraction Method</w:t>
      </w:r>
    </w:p>
    <w:p>
      <w:pPr>
        <w:spacing w:after="200"/>
      </w:pPr>
      <w:r>
        <w:t xml:space="preserve">The head+tail approach extracts the first 256 tokens (introduction/context) and last 256 tokens (conclusion/outcomes) from each article, joining them with a separator:</w:t>
      </w:r>
    </w:p>
    <w:p>
      <w:pPr>
        <w:shd w:fill="F0F0F0" w:val="clear"/>
        <w:spacing w:after="100"/>
      </w:pPr>
      <w:r>
        <w:rPr>
          <w:rFonts w:ascii="Courier New" w:cs="Courier New" w:eastAsia="Courier New" w:hAnsi="Courier New"/>
          <w:sz w:val="20"/>
          <w:szCs w:val="20"/>
        </w:rPr>
        <w:t xml:space="preserve">head_text = tokenizer.decode(tokens[:256])</w:t>
      </w:r>
    </w:p>
    <w:p>
      <w:pPr>
        <w:shd w:fill="F0F0F0" w:val="clear"/>
        <w:spacing w:after="100"/>
      </w:pPr>
      <w:r>
        <w:rPr>
          <w:rFonts w:ascii="Courier New" w:cs="Courier New" w:eastAsia="Courier New" w:hAnsi="Courier New"/>
          <w:sz w:val="20"/>
          <w:szCs w:val="20"/>
        </w:rPr>
        <w:t xml:space="preserve">tail_text = tokenizer.decode(tokens[-256:])</w:t>
      </w:r>
    </w:p>
    <w:p>
      <w:pPr>
        <w:shd w:fill="F0F0F0" w:val="clear"/>
        <w:spacing w:after="200"/>
      </w:pPr>
      <w:r>
        <w:rPr>
          <w:rFonts w:ascii="Courier New" w:cs="Courier New" w:eastAsia="Courier New" w:hAnsi="Courier New"/>
          <w:sz w:val="20"/>
          <w:szCs w:val="20"/>
        </w:rPr>
        <w:t xml:space="preserve">return head_text + " [...] " + tail_text</w:t>
      </w:r>
    </w:p>
    <w:p>
      <w:pPr>
        <w:spacing w:after="200"/>
      </w:pPr>
      <w:r>
        <w:rPr>
          <w:b/>
          <w:bCs/>
        </w:rPr>
        <w:t xml:space="preserve">Rationale: </w:t>
      </w:r>
      <w:r>
        <w:t xml:space="preserve">News articles typically present key context at the beginning and documented outcomes/conclusions at the end. The middle often contains detailed explanation that is less critical for scoring.</w:t>
      </w:r>
    </w:p>
    <w:p>
      <w:r>
        <w:br w:type="page"/>
      </w:r>
    </w:p>
    <w:p>
      <w:pPr>
        <w:pStyle w:val="Heading1"/>
      </w:pPr>
      <w:r>
        <w:t xml:space="preserve">Results</w:t>
      </w:r>
    </w:p>
    <w:p>
      <w:pPr>
        <w:pStyle w:val="Heading2"/>
      </w:pPr>
      <w:r>
        <w:t xml:space="preserve">Model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Model</w:t>
            </w:r>
          </w:p>
        </w:tc>
        <w:tc>
          <w:tcPr>
            <w:tcW w:type="dxa" w:w="1872"/>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Max Length</w:t>
            </w:r>
          </w:p>
        </w:tc>
        <w:tc>
          <w:tcPr>
            <w:tcW w:type="dxa" w:w="1872"/>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Best Val MAE</w:t>
            </w:r>
          </w:p>
        </w:tc>
        <w:tc>
          <w:tcPr>
            <w:tcW w:type="dxa" w:w="1872"/>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vs Baseline</w:t>
            </w:r>
          </w:p>
        </w:tc>
        <w:tc>
          <w:tcPr>
            <w:tcW w:type="dxa" w:w="1872"/>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Inference Speed</w:t>
            </w:r>
          </w:p>
        </w:tc>
      </w:tr>
      <w:tr>
        <w:tc>
          <w:tcPr>
            <w:tcW w:type="dxa" w:w="1872"/>
            <w:tcBorders>
              <w:top w:val="single" w:color="CCCCCC" w:sz="1"/>
              <w:left w:val="single" w:color="CCCCCC" w:sz="1"/>
              <w:bottom w:val="single" w:color="CCCCCC" w:sz="1"/>
              <w:right w:val="single" w:color="CCCCCC" w:sz="1"/>
            </w:tcBorders>
          </w:tcPr>
          <w:p>
            <w:pPr>
              <w:jc w:val="left"/>
            </w:pPr>
            <w:r>
              <w:rPr>
                <w:sz w:val="22"/>
                <w:szCs w:val="22"/>
              </w:rPr>
              <w:t xml:space="preserve">Baseline</w:t>
            </w:r>
          </w:p>
        </w:tc>
        <w:tc>
          <w:tcPr>
            <w:tcW w:type="dxa" w:w="1872"/>
            <w:tcBorders>
              <w:top w:val="single" w:color="CCCCCC" w:sz="1"/>
              <w:left w:val="single" w:color="CCCCCC" w:sz="1"/>
              <w:bottom w:val="single" w:color="CCCCCC" w:sz="1"/>
              <w:right w:val="single" w:color="CCCCCC" w:sz="1"/>
            </w:tcBorders>
          </w:tcPr>
          <w:p>
            <w:pPr>
              <w:jc w:val="center"/>
            </w:pPr>
            <w:r>
              <w:rPr>
                <w:sz w:val="22"/>
                <w:szCs w:val="22"/>
              </w:rPr>
              <w:t xml:space="preserve">512</w:t>
            </w:r>
          </w:p>
        </w:tc>
        <w:tc>
          <w:tcPr>
            <w:tcW w:type="dxa" w:w="1872"/>
            <w:tcBorders>
              <w:top w:val="single" w:color="CCCCCC" w:sz="1"/>
              <w:left w:val="single" w:color="CCCCCC" w:sz="1"/>
              <w:bottom w:val="single" w:color="CCCCCC" w:sz="1"/>
              <w:right w:val="single" w:color="CCCCCC" w:sz="1"/>
            </w:tcBorders>
          </w:tcPr>
          <w:p>
            <w:pPr>
              <w:jc w:val="center"/>
            </w:pPr>
            <w:r>
              <w:rPr>
                <w:sz w:val="22"/>
                <w:szCs w:val="22"/>
              </w:rPr>
              <w:t xml:space="preserve">0.680</w:t>
            </w:r>
          </w:p>
        </w:tc>
        <w:tc>
          <w:tcPr>
            <w:tcW w:type="dxa" w:w="1872"/>
            <w:tcBorders>
              <w:top w:val="single" w:color="CCCCCC" w:sz="1"/>
              <w:left w:val="single" w:color="CCCCCC" w:sz="1"/>
              <w:bottom w:val="single" w:color="CCCCCC" w:sz="1"/>
              <w:right w:val="single" w:color="CCCCCC" w:sz="1"/>
            </w:tcBorders>
          </w:tcPr>
          <w:p>
            <w:pPr>
              <w:jc w:val="center"/>
            </w:pPr>
            <w:r>
              <w:rPr>
                <w:sz w:val="22"/>
                <w:szCs w:val="22"/>
              </w:rPr>
              <w:t xml:space="preserve">-</w:t>
            </w:r>
          </w:p>
        </w:tc>
        <w:tc>
          <w:tcPr>
            <w:tcW w:type="dxa" w:w="1872"/>
            <w:tcBorders>
              <w:top w:val="single" w:color="CCCCCC" w:sz="1"/>
              <w:left w:val="single" w:color="CCCCCC" w:sz="1"/>
              <w:bottom w:val="single" w:color="CCCCCC" w:sz="1"/>
              <w:right w:val="single" w:color="CCCCCC" w:sz="1"/>
            </w:tcBorders>
          </w:tcPr>
          <w:p>
            <w:pPr>
              <w:jc w:val="center"/>
            </w:pPr>
            <w:r>
              <w:rPr>
                <w:sz w:val="22"/>
                <w:szCs w:val="22"/>
              </w:rPr>
              <w:t xml:space="preserve">1x</w:t>
            </w:r>
          </w:p>
        </w:tc>
      </w:tr>
      <w:tr>
        <w:tc>
          <w:tcPr>
            <w:tcW w:type="dxa" w:w="1872"/>
            <w:tcBorders>
              <w:top w:val="single" w:color="CCCCCC" w:sz="1"/>
              <w:left w:val="single" w:color="CCCCCC" w:sz="1"/>
              <w:bottom w:val="single" w:color="CCCCCC" w:sz="1"/>
              <w:right w:val="single" w:color="CCCCCC" w:sz="1"/>
            </w:tcBorders>
          </w:tcPr>
          <w:p>
            <w:pPr>
              <w:jc w:val="left"/>
            </w:pPr>
            <w:r>
              <w:rPr>
                <w:sz w:val="22"/>
                <w:szCs w:val="22"/>
              </w:rPr>
              <w:t xml:space="preserve">1024tok</w:t>
            </w:r>
          </w:p>
        </w:tc>
        <w:tc>
          <w:tcPr>
            <w:tcW w:type="dxa" w:w="1872"/>
            <w:tcBorders>
              <w:top w:val="single" w:color="CCCCCC" w:sz="1"/>
              <w:left w:val="single" w:color="CCCCCC" w:sz="1"/>
              <w:bottom w:val="single" w:color="CCCCCC" w:sz="1"/>
              <w:right w:val="single" w:color="CCCCCC" w:sz="1"/>
            </w:tcBorders>
          </w:tcPr>
          <w:p>
            <w:pPr>
              <w:jc w:val="center"/>
            </w:pPr>
            <w:r>
              <w:rPr>
                <w:sz w:val="22"/>
                <w:szCs w:val="22"/>
              </w:rPr>
              <w:t xml:space="preserve">1024</w:t>
            </w:r>
          </w:p>
        </w:tc>
        <w:tc>
          <w:tcPr>
            <w:tcW w:type="dxa" w:w="1872"/>
            <w:tcBorders>
              <w:top w:val="single" w:color="CCCCCC" w:sz="1"/>
              <w:left w:val="single" w:color="CCCCCC" w:sz="1"/>
              <w:bottom w:val="single" w:color="CCCCCC" w:sz="1"/>
              <w:right w:val="single" w:color="CCCCCC" w:sz="1"/>
            </w:tcBorders>
          </w:tcPr>
          <w:p>
            <w:pPr>
              <w:jc w:val="center"/>
            </w:pPr>
            <w:r>
              <w:rPr>
                <w:sz w:val="22"/>
                <w:szCs w:val="22"/>
              </w:rPr>
              <w:t xml:space="preserve">0.652</w:t>
            </w:r>
          </w:p>
        </w:tc>
        <w:tc>
          <w:tcPr>
            <w:tcW w:type="dxa" w:w="1872"/>
            <w:tcBorders>
              <w:top w:val="single" w:color="CCCCCC" w:sz="1"/>
              <w:left w:val="single" w:color="CCCCCC" w:sz="1"/>
              <w:bottom w:val="single" w:color="CCCCCC" w:sz="1"/>
              <w:right w:val="single" w:color="CCCCCC" w:sz="1"/>
            </w:tcBorders>
          </w:tcPr>
          <w:p>
            <w:pPr>
              <w:jc w:val="center"/>
            </w:pPr>
            <w:r>
              <w:rPr>
                <w:sz w:val="22"/>
                <w:szCs w:val="22"/>
              </w:rPr>
              <w:t xml:space="preserve">-4.1%</w:t>
            </w:r>
          </w:p>
        </w:tc>
        <w:tc>
          <w:tcPr>
            <w:tcW w:type="dxa" w:w="1872"/>
            <w:tcBorders>
              <w:top w:val="single" w:color="CCCCCC" w:sz="1"/>
              <w:left w:val="single" w:color="CCCCCC" w:sz="1"/>
              <w:bottom w:val="single" w:color="CCCCCC" w:sz="1"/>
              <w:right w:val="single" w:color="CCCCCC" w:sz="1"/>
            </w:tcBorders>
          </w:tcPr>
          <w:p>
            <w:pPr>
              <w:jc w:val="center"/>
            </w:pPr>
            <w:r>
              <w:rPr>
                <w:sz w:val="22"/>
                <w:szCs w:val="22"/>
              </w:rPr>
              <w:t xml:space="preserve">~2x slower</w:t>
            </w:r>
          </w:p>
        </w:tc>
      </w:tr>
      <w:tr>
        <w:tc>
          <w:tcPr>
            <w:tcW w:type="dxa" w:w="1872"/>
            <w:tcBorders>
              <w:top w:val="single" w:color="CCCCCC" w:sz="1"/>
              <w:left w:val="single" w:color="CCCCCC" w:sz="1"/>
              <w:bottom w:val="single" w:color="CCCCCC" w:sz="1"/>
              <w:right w:val="single" w:color="CCCCCC" w:sz="1"/>
            </w:tcBorders>
          </w:tcPr>
          <w:p>
            <w:pPr>
              <w:jc w:val="left"/>
            </w:pPr>
            <w:r>
              <w:rPr>
                <w:b/>
                <w:bCs/>
                <w:sz w:val="22"/>
                <w:szCs w:val="22"/>
              </w:rPr>
              <w:t xml:space="preserve">head_tail</w:t>
            </w:r>
          </w:p>
        </w:tc>
        <w:tc>
          <w:tcPr>
            <w:tcW w:type="dxa" w:w="1872"/>
            <w:tcBorders>
              <w:top w:val="single" w:color="CCCCCC" w:sz="1"/>
              <w:left w:val="single" w:color="CCCCCC" w:sz="1"/>
              <w:bottom w:val="single" w:color="CCCCCC" w:sz="1"/>
              <w:right w:val="single" w:color="CCCCCC" w:sz="1"/>
            </w:tcBorders>
          </w:tcPr>
          <w:p>
            <w:pPr>
              <w:jc w:val="center"/>
            </w:pPr>
            <w:r>
              <w:rPr>
                <w:b/>
                <w:bCs/>
                <w:sz w:val="22"/>
                <w:szCs w:val="22"/>
              </w:rPr>
              <w:t xml:space="preserve">512 (256+256)</w:t>
            </w:r>
          </w:p>
        </w:tc>
        <w:tc>
          <w:tcPr>
            <w:tcW w:type="dxa" w:w="1872"/>
            <w:tcBorders>
              <w:top w:val="single" w:color="CCCCCC" w:sz="1"/>
              <w:left w:val="single" w:color="CCCCCC" w:sz="1"/>
              <w:bottom w:val="single" w:color="CCCCCC" w:sz="1"/>
              <w:right w:val="single" w:color="CCCCCC" w:sz="1"/>
            </w:tcBorders>
          </w:tcPr>
          <w:p>
            <w:pPr>
              <w:jc w:val="center"/>
            </w:pPr>
            <w:r>
              <w:rPr>
                <w:b/>
                <w:bCs/>
                <w:sz w:val="22"/>
                <w:szCs w:val="22"/>
              </w:rPr>
              <w:t xml:space="preserve">0.655</w:t>
            </w:r>
          </w:p>
        </w:tc>
        <w:tc>
          <w:tcPr>
            <w:tcW w:type="dxa" w:w="1872"/>
            <w:tcBorders>
              <w:top w:val="single" w:color="CCCCCC" w:sz="1"/>
              <w:left w:val="single" w:color="CCCCCC" w:sz="1"/>
              <w:bottom w:val="single" w:color="CCCCCC" w:sz="1"/>
              <w:right w:val="single" w:color="CCCCCC" w:sz="1"/>
            </w:tcBorders>
          </w:tcPr>
          <w:p>
            <w:pPr>
              <w:jc w:val="center"/>
            </w:pPr>
            <w:r>
              <w:rPr>
                <w:b/>
                <w:bCs/>
                <w:sz w:val="22"/>
                <w:szCs w:val="22"/>
              </w:rPr>
              <w:t xml:space="preserve">-3.7%</w:t>
            </w:r>
          </w:p>
        </w:tc>
        <w:tc>
          <w:tcPr>
            <w:tcW w:type="dxa" w:w="1872"/>
            <w:tcBorders>
              <w:top w:val="single" w:color="CCCCCC" w:sz="1"/>
              <w:left w:val="single" w:color="CCCCCC" w:sz="1"/>
              <w:bottom w:val="single" w:color="CCCCCC" w:sz="1"/>
              <w:right w:val="single" w:color="CCCCCC" w:sz="1"/>
            </w:tcBorders>
          </w:tcPr>
          <w:p>
            <w:pPr>
              <w:jc w:val="center"/>
            </w:pPr>
            <w:r>
              <w:rPr>
                <w:b/>
                <w:bCs/>
                <w:sz w:val="22"/>
                <w:szCs w:val="22"/>
              </w:rPr>
              <w:t xml:space="preserve">1x</w:t>
            </w:r>
          </w:p>
        </w:tc>
      </w:tr>
      <w:tr>
        <w:tc>
          <w:tcPr>
            <w:tcW w:type="dxa" w:w="1872"/>
            <w:tcBorders>
              <w:top w:val="single" w:color="CCCCCC" w:sz="1"/>
              <w:left w:val="single" w:color="CCCCCC" w:sz="1"/>
              <w:bottom w:val="single" w:color="CCCCCC" w:sz="1"/>
              <w:right w:val="single" w:color="CCCCCC" w:sz="1"/>
            </w:tcBorders>
          </w:tcPr>
          <w:p>
            <w:pPr>
              <w:jc w:val="left"/>
            </w:pPr>
            <w:r>
              <w:rPr>
                <w:sz w:val="22"/>
                <w:szCs w:val="22"/>
              </w:rPr>
              <w:t xml:space="preserve">2048tok</w:t>
            </w:r>
          </w:p>
        </w:tc>
        <w:tc>
          <w:tcPr>
            <w:tcW w:type="dxa" w:w="1872"/>
            <w:tcBorders>
              <w:top w:val="single" w:color="CCCCCC" w:sz="1"/>
              <w:left w:val="single" w:color="CCCCCC" w:sz="1"/>
              <w:bottom w:val="single" w:color="CCCCCC" w:sz="1"/>
              <w:right w:val="single" w:color="CCCCCC" w:sz="1"/>
            </w:tcBorders>
          </w:tcPr>
          <w:p>
            <w:pPr>
              <w:jc w:val="center"/>
            </w:pPr>
            <w:r>
              <w:rPr>
                <w:sz w:val="22"/>
                <w:szCs w:val="22"/>
              </w:rPr>
              <w:t xml:space="preserve">2048</w:t>
            </w:r>
          </w:p>
        </w:tc>
        <w:tc>
          <w:tcPr>
            <w:tcW w:type="dxa" w:w="1872"/>
            <w:tcBorders>
              <w:top w:val="single" w:color="CCCCCC" w:sz="1"/>
              <w:left w:val="single" w:color="CCCCCC" w:sz="1"/>
              <w:bottom w:val="single" w:color="CCCCCC" w:sz="1"/>
              <w:right w:val="single" w:color="CCCCCC" w:sz="1"/>
            </w:tcBorders>
          </w:tcPr>
          <w:p>
            <w:pPr>
              <w:jc w:val="center"/>
            </w:pPr>
            <w:r>
              <w:rPr>
                <w:sz w:val="22"/>
                <w:szCs w:val="22"/>
              </w:rPr>
              <w:t xml:space="preserve">0.627</w:t>
            </w:r>
          </w:p>
        </w:tc>
        <w:tc>
          <w:tcPr>
            <w:tcW w:type="dxa" w:w="1872"/>
            <w:tcBorders>
              <w:top w:val="single" w:color="CCCCCC" w:sz="1"/>
              <w:left w:val="single" w:color="CCCCCC" w:sz="1"/>
              <w:bottom w:val="single" w:color="CCCCCC" w:sz="1"/>
              <w:right w:val="single" w:color="CCCCCC" w:sz="1"/>
            </w:tcBorders>
          </w:tcPr>
          <w:p>
            <w:pPr>
              <w:jc w:val="center"/>
            </w:pPr>
            <w:r>
              <w:rPr>
                <w:sz w:val="22"/>
                <w:szCs w:val="22"/>
              </w:rPr>
              <w:t xml:space="preserve">-7.8%</w:t>
            </w:r>
          </w:p>
        </w:tc>
        <w:tc>
          <w:tcPr>
            <w:tcW w:type="dxa" w:w="1872"/>
            <w:tcBorders>
              <w:top w:val="single" w:color="CCCCCC" w:sz="1"/>
              <w:left w:val="single" w:color="CCCCCC" w:sz="1"/>
              <w:bottom w:val="single" w:color="CCCCCC" w:sz="1"/>
              <w:right w:val="single" w:color="CCCCCC" w:sz="1"/>
            </w:tcBorders>
          </w:tcPr>
          <w:p>
            <w:pPr>
              <w:jc w:val="center"/>
            </w:pPr>
            <w:r>
              <w:rPr>
                <w:sz w:val="22"/>
                <w:szCs w:val="22"/>
              </w:rPr>
              <w:t xml:space="preserve">~4x slower</w:t>
            </w:r>
          </w:p>
        </w:tc>
      </w:tr>
    </w:tbl>
    <w:p>
      <w:pPr>
        <w:pStyle w:val="Heading2"/>
      </w:pPr>
      <w:r>
        <w:t xml:space="preserve">Key Observations</w:t>
      </w:r>
    </w:p>
    <w:p>
      <w:pPr>
        <w:pStyle w:val="ListParagraph"/>
        <w:numPr>
          <w:ilvl w:val="0"/>
          <w:numId w:val="3"/>
        </w:numPr>
      </w:pPr>
      <w:r>
        <w:rPr>
          <w:b/>
          <w:bCs/>
        </w:rPr>
        <w:t xml:space="preserve">Longer context consistently improves MAE </w:t>
      </w:r>
      <w:r>
        <w:t xml:space="preserve">- each doubling of context reduces error, but with diminishing returns.</w:t>
      </w:r>
    </w:p>
    <w:p>
      <w:pPr>
        <w:pStyle w:val="ListParagraph"/>
        <w:numPr>
          <w:ilvl w:val="0"/>
          <w:numId w:val="3"/>
        </w:numPr>
      </w:pPr>
      <w:r>
        <w:rPr>
          <w:b/>
          <w:bCs/>
        </w:rPr>
        <w:t xml:space="preserve">Head+tail nearly matches 1024tok </w:t>
      </w:r>
      <w:r>
        <w:t xml:space="preserve">- only 0.003 MAE difference (0.655 vs 0.652) while using same 512 token length.</w:t>
      </w:r>
    </w:p>
    <w:p>
      <w:pPr>
        <w:pStyle w:val="ListParagraph"/>
        <w:numPr>
          <w:ilvl w:val="0"/>
          <w:numId w:val="3"/>
        </w:numPr>
      </w:pPr>
      <w:r>
        <w:rPr>
          <w:b/>
          <w:bCs/>
        </w:rPr>
        <w:t xml:space="preserve">Training cost scales with context </w:t>
      </w:r>
      <w:r>
        <w:t xml:space="preserve">- 2048 tokens requires batch_size=1 on 16GB GPU.</w:t>
      </w:r>
    </w:p>
    <w:p>
      <w:pPr>
        <w:pStyle w:val="ListParagraph"/>
        <w:numPr>
          <w:ilvl w:val="0"/>
          <w:numId w:val="3"/>
        </w:numPr>
      </w:pPr>
      <w:r>
        <w:rPr>
          <w:b/>
          <w:bCs/>
        </w:rPr>
        <w:t xml:space="preserve">Inference cost scales quadratically </w:t>
      </w:r>
      <w:r>
        <w:t xml:space="preserve">- attention is O(n²) in sequence length.</w:t>
      </w:r>
    </w:p>
    <w:p>
      <w:pPr>
        <w:pStyle w:val="Heading1"/>
      </w:pPr>
      <w:r>
        <w:t xml:space="preserve">Inference Cost Analysis</w:t>
      </w:r>
    </w:p>
    <w:p>
      <w:pPr>
        <w:spacing w:after="200"/>
      </w:pPr>
      <w:r>
        <w:t xml:space="preserve">CPU inference benchmarks with INT8 quantization: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Context Length</w:t>
            </w:r>
          </w:p>
        </w:tc>
        <w:tc>
          <w:tcPr>
            <w:tcW w:type="dxa" w:w="312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Time per Article</w:t>
            </w:r>
          </w:p>
        </w:tc>
        <w:tc>
          <w:tcPr>
            <w:tcW w:type="dxa" w:w="312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10K Articles</w:t>
            </w:r>
          </w:p>
        </w:tc>
      </w:tr>
      <w:tr>
        <w:tc>
          <w:tcPr>
            <w:tcW w:type="dxa" w:w="3120"/>
            <w:tcBorders>
              <w:top w:val="single" w:color="CCCCCC" w:sz="1"/>
              <w:left w:val="single" w:color="CCCCCC" w:sz="1"/>
              <w:bottom w:val="single" w:color="CCCCCC" w:sz="1"/>
              <w:right w:val="single" w:color="CCCCCC" w:sz="1"/>
            </w:tcBorders>
          </w:tcPr>
          <w:p>
            <w:pPr>
              <w:jc w:val="left"/>
            </w:pPr>
            <w:r>
              <w:rPr>
                <w:sz w:val="22"/>
                <w:szCs w:val="22"/>
              </w:rPr>
              <w:t xml:space="preserve">512 tokens</w:t>
            </w:r>
          </w:p>
        </w:tc>
        <w:tc>
          <w:tcPr>
            <w:tcW w:type="dxa" w:w="3120"/>
            <w:tcBorders>
              <w:top w:val="single" w:color="CCCCCC" w:sz="1"/>
              <w:left w:val="single" w:color="CCCCCC" w:sz="1"/>
              <w:bottom w:val="single" w:color="CCCCCC" w:sz="1"/>
              <w:right w:val="single" w:color="CCCCCC" w:sz="1"/>
            </w:tcBorders>
          </w:tcPr>
          <w:p>
            <w:pPr>
              <w:jc w:val="center"/>
            </w:pPr>
            <w:r>
              <w:rPr>
                <w:sz w:val="22"/>
                <w:szCs w:val="22"/>
              </w:rPr>
              <w:t xml:space="preserve">1.6s</w:t>
            </w:r>
          </w:p>
        </w:tc>
        <w:tc>
          <w:tcPr>
            <w:tcW w:type="dxa" w:w="3120"/>
            <w:tcBorders>
              <w:top w:val="single" w:color="CCCCCC" w:sz="1"/>
              <w:left w:val="single" w:color="CCCCCC" w:sz="1"/>
              <w:bottom w:val="single" w:color="CCCCCC" w:sz="1"/>
              <w:right w:val="single" w:color="CCCCCC" w:sz="1"/>
            </w:tcBorders>
          </w:tcPr>
          <w:p>
            <w:pPr>
              <w:jc w:val="center"/>
            </w:pPr>
            <w:r>
              <w:rPr>
                <w:sz w:val="22"/>
                <w:szCs w:val="22"/>
              </w:rPr>
              <w:t xml:space="preserve">4.4 hours</w:t>
            </w:r>
          </w:p>
        </w:tc>
      </w:tr>
      <w:tr>
        <w:tc>
          <w:tcPr>
            <w:tcW w:type="dxa" w:w="3120"/>
            <w:tcBorders>
              <w:top w:val="single" w:color="CCCCCC" w:sz="1"/>
              <w:left w:val="single" w:color="CCCCCC" w:sz="1"/>
              <w:bottom w:val="single" w:color="CCCCCC" w:sz="1"/>
              <w:right w:val="single" w:color="CCCCCC" w:sz="1"/>
            </w:tcBorders>
          </w:tcPr>
          <w:p>
            <w:pPr>
              <w:jc w:val="left"/>
            </w:pPr>
            <w:r>
              <w:rPr>
                <w:sz w:val="22"/>
                <w:szCs w:val="22"/>
              </w:rPr>
              <w:t xml:space="preserve">1024 tokens</w:t>
            </w:r>
          </w:p>
        </w:tc>
        <w:tc>
          <w:tcPr>
            <w:tcW w:type="dxa" w:w="3120"/>
            <w:tcBorders>
              <w:top w:val="single" w:color="CCCCCC" w:sz="1"/>
              <w:left w:val="single" w:color="CCCCCC" w:sz="1"/>
              <w:bottom w:val="single" w:color="CCCCCC" w:sz="1"/>
              <w:right w:val="single" w:color="CCCCCC" w:sz="1"/>
            </w:tcBorders>
          </w:tcPr>
          <w:p>
            <w:pPr>
              <w:jc w:val="center"/>
            </w:pPr>
            <w:r>
              <w:rPr>
                <w:sz w:val="22"/>
                <w:szCs w:val="22"/>
              </w:rPr>
              <w:t xml:space="preserve">3.5s</w:t>
            </w:r>
          </w:p>
        </w:tc>
        <w:tc>
          <w:tcPr>
            <w:tcW w:type="dxa" w:w="3120"/>
            <w:tcBorders>
              <w:top w:val="single" w:color="CCCCCC" w:sz="1"/>
              <w:left w:val="single" w:color="CCCCCC" w:sz="1"/>
              <w:bottom w:val="single" w:color="CCCCCC" w:sz="1"/>
              <w:right w:val="single" w:color="CCCCCC" w:sz="1"/>
            </w:tcBorders>
          </w:tcPr>
          <w:p>
            <w:pPr>
              <w:jc w:val="center"/>
            </w:pPr>
            <w:r>
              <w:rPr>
                <w:sz w:val="22"/>
                <w:szCs w:val="22"/>
              </w:rPr>
              <w:t xml:space="preserve">9.7 hours</w:t>
            </w:r>
          </w:p>
        </w:tc>
      </w:tr>
      <w:tr>
        <w:tc>
          <w:tcPr>
            <w:tcW w:type="dxa" w:w="3120"/>
            <w:tcBorders>
              <w:top w:val="single" w:color="CCCCCC" w:sz="1"/>
              <w:left w:val="single" w:color="CCCCCC" w:sz="1"/>
              <w:bottom w:val="single" w:color="CCCCCC" w:sz="1"/>
              <w:right w:val="single" w:color="CCCCCC" w:sz="1"/>
            </w:tcBorders>
          </w:tcPr>
          <w:p>
            <w:pPr>
              <w:jc w:val="left"/>
            </w:pPr>
            <w:r>
              <w:rPr>
                <w:sz w:val="22"/>
                <w:szCs w:val="22"/>
              </w:rPr>
              <w:t xml:space="preserve">2048 tokens</w:t>
            </w:r>
          </w:p>
        </w:tc>
        <w:tc>
          <w:tcPr>
            <w:tcW w:type="dxa" w:w="3120"/>
            <w:tcBorders>
              <w:top w:val="single" w:color="CCCCCC" w:sz="1"/>
              <w:left w:val="single" w:color="CCCCCC" w:sz="1"/>
              <w:bottom w:val="single" w:color="CCCCCC" w:sz="1"/>
              <w:right w:val="single" w:color="CCCCCC" w:sz="1"/>
            </w:tcBorders>
          </w:tcPr>
          <w:p>
            <w:pPr>
              <w:jc w:val="center"/>
            </w:pPr>
            <w:r>
              <w:rPr>
                <w:sz w:val="22"/>
                <w:szCs w:val="22"/>
              </w:rPr>
              <w:t xml:space="preserve">~7s</w:t>
            </w:r>
          </w:p>
        </w:tc>
        <w:tc>
          <w:tcPr>
            <w:tcW w:type="dxa" w:w="3120"/>
            <w:tcBorders>
              <w:top w:val="single" w:color="CCCCCC" w:sz="1"/>
              <w:left w:val="single" w:color="CCCCCC" w:sz="1"/>
              <w:bottom w:val="single" w:color="CCCCCC" w:sz="1"/>
              <w:right w:val="single" w:color="CCCCCC" w:sz="1"/>
            </w:tcBorders>
          </w:tcPr>
          <w:p>
            <w:pPr>
              <w:jc w:val="center"/>
            </w:pPr>
            <w:r>
              <w:rPr>
                <w:sz w:val="22"/>
                <w:szCs w:val="22"/>
              </w:rPr>
              <w:t xml:space="preserve">~19 hours</w:t>
            </w:r>
          </w:p>
        </w:tc>
      </w:tr>
      <w:tr>
        <w:tc>
          <w:tcPr>
            <w:tcW w:type="dxa" w:w="3120"/>
            <w:tcBorders>
              <w:top w:val="single" w:color="CCCCCC" w:sz="1"/>
              <w:left w:val="single" w:color="CCCCCC" w:sz="1"/>
              <w:bottom w:val="single" w:color="CCCCCC" w:sz="1"/>
              <w:right w:val="single" w:color="CCCCCC" w:sz="1"/>
            </w:tcBorders>
          </w:tcPr>
          <w:p>
            <w:pPr>
              <w:jc w:val="left"/>
            </w:pPr>
            <w:r>
              <w:rPr>
                <w:sz w:val="22"/>
                <w:szCs w:val="22"/>
              </w:rPr>
              <w:t xml:space="preserve">4096 tokens</w:t>
            </w:r>
          </w:p>
        </w:tc>
        <w:tc>
          <w:tcPr>
            <w:tcW w:type="dxa" w:w="3120"/>
            <w:tcBorders>
              <w:top w:val="single" w:color="CCCCCC" w:sz="1"/>
              <w:left w:val="single" w:color="CCCCCC" w:sz="1"/>
              <w:bottom w:val="single" w:color="CCCCCC" w:sz="1"/>
              <w:right w:val="single" w:color="CCCCCC" w:sz="1"/>
            </w:tcBorders>
          </w:tcPr>
          <w:p>
            <w:pPr>
              <w:jc w:val="center"/>
            </w:pPr>
            <w:r>
              <w:rPr>
                <w:sz w:val="22"/>
                <w:szCs w:val="22"/>
              </w:rPr>
              <w:t xml:space="preserve">~15s</w:t>
            </w:r>
          </w:p>
        </w:tc>
        <w:tc>
          <w:tcPr>
            <w:tcW w:type="dxa" w:w="3120"/>
            <w:tcBorders>
              <w:top w:val="single" w:color="CCCCCC" w:sz="1"/>
              <w:left w:val="single" w:color="CCCCCC" w:sz="1"/>
              <w:bottom w:val="single" w:color="CCCCCC" w:sz="1"/>
              <w:right w:val="single" w:color="CCCCCC" w:sz="1"/>
            </w:tcBorders>
          </w:tcPr>
          <w:p>
            <w:pPr>
              <w:jc w:val="center"/>
            </w:pPr>
            <w:r>
              <w:rPr>
                <w:sz w:val="22"/>
                <w:szCs w:val="22"/>
              </w:rPr>
              <w:t xml:space="preserve">~42 hours</w:t>
            </w:r>
          </w:p>
        </w:tc>
      </w:tr>
    </w:tbl>
    <w:p>
      <w:pPr>
        <w:spacing w:before="200" w:after="200"/>
      </w:pPr>
      <w:r>
        <w:rPr>
          <w:b/>
          <w:bCs/>
        </w:rPr>
        <w:t xml:space="preserve">Critical insight: </w:t>
      </w:r>
      <w:r>
        <w:t xml:space="preserve">Head+tail extraction maintains the 512-token inference speed (1.6s/article) while capturing information from longer articles that would otherwise be truncated.</w:t>
      </w:r>
    </w:p>
    <w:p>
      <w:r>
        <w:br w:type="page"/>
      </w:r>
    </w:p>
    <w:p>
      <w:pPr>
        <w:pStyle w:val="Heading1"/>
      </w:pPr>
      <w:r>
        <w:t xml:space="preserve">Conclusions</w:t>
      </w:r>
    </w:p>
    <w:p>
      <w:pPr>
        <w:pStyle w:val="ListParagraph"/>
        <w:numPr>
          <w:ilvl w:val="0"/>
          <w:numId w:val="4"/>
        </w:numPr>
      </w:pPr>
      <w:r>
        <w:rPr>
          <w:b/>
          <w:bCs/>
        </w:rPr>
        <w:t xml:space="preserve">Longer context helps quality but has diminishing returns. </w:t>
      </w:r>
      <w:r>
        <w:t xml:space="preserve">512→1024 gave 4.1% improvement, 1024→2048 gave only 3.7% more.</w:t>
      </w:r>
    </w:p>
    <w:p>
      <w:pPr>
        <w:pStyle w:val="ListParagraph"/>
        <w:numPr>
          <w:ilvl w:val="0"/>
          <w:numId w:val="4"/>
        </w:numPr>
      </w:pPr>
      <w:r>
        <w:rPr>
          <w:b/>
          <w:bCs/>
        </w:rPr>
        <w:t xml:space="preserve">Head+tail is the optimal strategy. </w:t>
      </w:r>
      <w:r>
        <w:t xml:space="preserve">Achieves 3.7% improvement over baseline with no inference cost increase.</w:t>
      </w:r>
    </w:p>
    <w:p>
      <w:pPr>
        <w:pStyle w:val="ListParagraph"/>
        <w:numPr>
          <w:ilvl w:val="0"/>
          <w:numId w:val="4"/>
        </w:numPr>
      </w:pPr>
      <w:r>
        <w:rPr>
          <w:b/>
          <w:bCs/>
        </w:rPr>
        <w:t xml:space="preserve">Article structure matters. </w:t>
      </w:r>
      <w:r>
        <w:t xml:space="preserve">Intro (context) and conclusion (outcomes) contain most of the signal for uplifting content scoring.</w:t>
      </w:r>
    </w:p>
    <w:p>
      <w:pPr>
        <w:pStyle w:val="ListParagraph"/>
        <w:numPr>
          <w:ilvl w:val="0"/>
          <w:numId w:val="4"/>
        </w:numPr>
      </w:pPr>
      <w:r>
        <w:rPr>
          <w:b/>
          <w:bCs/>
        </w:rPr>
        <w:t xml:space="preserve">2048tok is impractical for production. </w:t>
      </w:r>
      <w:r>
        <w:t xml:space="preserve">4x slower inference for only 4.3% additional improvement over head+tail.</w:t>
      </w:r>
    </w:p>
    <w:p>
      <w:pPr>
        <w:pStyle w:val="Heading1"/>
      </w:pPr>
      <w:r>
        <w:t xml:space="preserve">Recommendations</w:t>
      </w:r>
    </w:p>
    <w:p>
      <w:pPr>
        <w:spacing w:after="200"/>
      </w:pPr>
      <w:r>
        <w:rPr>
          <w:b/>
          <w:bCs/>
        </w:rPr>
        <w:t xml:space="preserve">Primary recommendation: </w:t>
      </w:r>
      <w:r>
        <w:t xml:space="preserve">Use head+tail (256+256) extraction for production deployment.</w:t>
      </w:r>
    </w:p>
    <w:p>
      <w:pPr>
        <w:pStyle w:val="ListParagraph"/>
        <w:numPr>
          <w:ilvl w:val="0"/>
          <w:numId w:val="2"/>
        </w:numPr>
      </w:pPr>
      <w:r>
        <w:t xml:space="preserve">Best quality-speed tradeoff (MAE 0.655 at baseline speed)</w:t>
      </w:r>
    </w:p>
    <w:p>
      <w:pPr>
        <w:pStyle w:val="ListParagraph"/>
        <w:numPr>
          <w:ilvl w:val="0"/>
          <w:numId w:val="2"/>
        </w:numPr>
      </w:pPr>
      <w:r>
        <w:t xml:space="preserve">3.7% better than baseline with no inference cost increase</w:t>
      </w:r>
    </w:p>
    <w:p>
      <w:pPr>
        <w:pStyle w:val="ListParagraph"/>
        <w:numPr>
          <w:ilvl w:val="0"/>
          <w:numId w:val="2"/>
        </w:numPr>
      </w:pPr>
      <w:r>
        <w:t xml:space="preserve">Only 0.003 MAE worse than 1024tok but 2x faster</w:t>
      </w:r>
    </w:p>
    <w:p>
      <w:pPr>
        <w:pStyle w:val="ListParagraph"/>
        <w:numPr>
          <w:ilvl w:val="0"/>
          <w:numId w:val="2"/>
        </w:numPr>
      </w:pPr>
      <w:r>
        <w:t xml:space="preserve">Captures intro (context) + conclusion (outcomes) which are most relevant for scoring</w:t>
      </w:r>
    </w:p>
    <w:p>
      <w:pPr>
        <w:spacing w:before="200" w:after="200"/>
      </w:pPr>
      <w:r>
        <w:rPr>
          <w:b/>
          <w:bCs/>
        </w:rPr>
        <w:t xml:space="preserve">Alternative: </w:t>
      </w:r>
      <w:r>
        <w:t xml:space="preserve">If maximum quality is required and inference cost is not a concern, use 2048tok (MAE 0.627).</w:t>
      </w:r>
    </w:p>
    <w:p>
      <w:pPr>
        <w:pStyle w:val="Heading1"/>
      </w:pPr>
      <w:r>
        <w:t xml:space="preserve">Models Produced</w:t>
      </w:r>
    </w:p>
    <w:p>
      <w:pPr>
        <w:pStyle w:val="ListParagraph"/>
        <w:numPr>
          <w:ilvl w:val="0"/>
          <w:numId w:val="2"/>
        </w:numPr>
      </w:pPr>
      <w:r>
        <w:rPr>
          <w:rFonts w:ascii="Courier New" w:cs="Courier New" w:eastAsia="Courier New" w:hAnsi="Courier New"/>
          <w:sz w:val="20"/>
          <w:szCs w:val="20"/>
        </w:rPr>
        <w:t xml:space="preserve">uplifting_v5_1024tok </w:t>
      </w:r>
      <w:r>
        <w:t xml:space="preserve">- MAE 0.652</w:t>
      </w:r>
    </w:p>
    <w:p>
      <w:pPr>
        <w:pStyle w:val="ListParagraph"/>
        <w:numPr>
          <w:ilvl w:val="0"/>
          <w:numId w:val="2"/>
        </w:numPr>
      </w:pPr>
      <w:r>
        <w:rPr>
          <w:rFonts w:ascii="Courier New" w:cs="Courier New" w:eastAsia="Courier New" w:hAnsi="Courier New"/>
          <w:sz w:val="20"/>
          <w:szCs w:val="20"/>
        </w:rPr>
        <w:t xml:space="preserve">uplifting_v5_2048tok </w:t>
      </w:r>
      <w:r>
        <w:t xml:space="preserve">- MAE 0.627</w:t>
      </w:r>
    </w:p>
    <w:p>
      <w:pPr>
        <w:pStyle w:val="ListParagraph"/>
        <w:numPr>
          <w:ilvl w:val="0"/>
          <w:numId w:val="2"/>
        </w:numPr>
      </w:pPr>
      <w:r>
        <w:rPr>
          <w:rFonts w:ascii="Courier New" w:cs="Courier New" w:eastAsia="Courier New" w:hAnsi="Courier New"/>
          <w:sz w:val="20"/>
          <w:szCs w:val="20"/>
        </w:rPr>
        <w:t xml:space="preserve">uplifting_v5_head_tail </w:t>
      </w:r>
      <w:r>
        <w:t xml:space="preserve">- MAE 0.655 (recommended)</w:t>
      </w:r>
    </w:p>
    <w:p>
      <w:pPr>
        <w:spacing w:before="200"/>
      </w:pPr>
      <w:r>
        <w:rPr>
          <w:b/>
          <w:bCs/>
        </w:rPr>
        <w:t xml:space="preserve">Location: </w:t>
      </w:r>
      <w:r>
        <w:rPr>
          <w:rFonts w:ascii="Courier New" w:cs="Courier New" w:eastAsia="Courier New" w:hAnsi="Courier New"/>
          <w:sz w:val="20"/>
          <w:szCs w:val="20"/>
        </w:rPr>
        <w:t xml:space="preserve">research/embedding_vs_finetuning/models/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36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00000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2026-01-26T11:37:35.572Z</dcterms:created>
  <dcterms:modified xsi:type="dcterms:W3CDTF">2026-01-26T11:37:35.573Z</dcterms:modified>
</cp:coreProperties>
</file>

<file path=docProps/custom.xml><?xml version="1.0" encoding="utf-8"?>
<Properties xmlns="http://schemas.openxmlformats.org/officeDocument/2006/custom-properties" xmlns:vt="http://schemas.openxmlformats.org/officeDocument/2006/docPropsVTypes"/>
</file>