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Mã bài: gstage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(Vòng bảng)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(Petrozavodsk Winter </w:t>
      </w: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2010 </w:t>
      </w: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2011</w:t>
      </w: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http://codeforces.com/gym/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100016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problem D</w:t>
      </w:r>
      <w:r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  <w:t xml:space="preserve">)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28"/>
          <w:shd w:fill="auto" w:val="clear"/>
        </w:rPr>
        <w:t xml:space="preserve">Time limit: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8"/>
          <w:shd w:fill="auto" w:val="clear"/>
        </w:rPr>
        <w:t xml:space="preserve">s/test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Các giải bóng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đá lớn tr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ên thế giới 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ường được chia thành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giai đoạn: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bảng và vòng loại trực tiếp. Trong bài toán này, chúng ta sẽ xét một tình huống tổng quát của vòng bảng. Có 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đội bóng tham gia đấu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tròn một 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ượt, và K đội có thành tích tốt nhất được vào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tiếp theo. Với mỗi trận thắng,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đội thắng được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điểm; với mỗi trận 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òa, hai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đội c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được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điểm. Kết thúc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bảng, các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đội được xếp giảm dần theo điểm. Nếu có nhiều đội bằng điểm nhau, các chỉ số phụ được xét đến (hiệu số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àn thắng bại,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đối đầu trực tiếp, .., cuối c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ùng là bốc 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ăm).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Giả sử rằng mọi khả 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ăng đều có thể xảy ra, 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ãy xác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định xem: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Số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điểm tối thiểu một đội cần đạt được để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có khả năng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được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tiếp theo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Số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điểm tối đa một đội có thể đạt được để vẫn có thể không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được v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òng tiếp theo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Input: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Hai số nguyên N và K (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&lt; K &lt; N &lt;=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Output: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Hai số nguyên trên cùng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dòng ứng với hai câu trả lời 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ương ứng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Ví dụ:</w:t>
      </w:r>
    </w:p>
    <w:tbl>
      <w:tblPr/>
      <w:tblGrid>
        <w:gridCol w:w="4621"/>
        <w:gridCol w:w="4620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Input</w:t>
            </w: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20"/>
                <w:shd w:fill="FFFFFF" w:val="clear"/>
              </w:rPr>
              <w:t xml:space="preserve">4 2</w:t>
            </w: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20"/>
                <w:shd w:fill="FFFFFF" w:val="clear"/>
              </w:rPr>
              <w:t xml:space="preserve">2 6</w:t>
            </w:r>
          </w:p>
        </w:tc>
      </w:tr>
    </w:tbl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odeforces.com/gym/100016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