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2F6" w14:textId="496F3F90" w:rsidR="00B426BC" w:rsidRDefault="00C670F4">
      <w:r>
        <w:t>GPU architecture:</w:t>
      </w:r>
    </w:p>
    <w:p w14:paraId="4BE64DC8" w14:textId="66954C19" w:rsidR="00C670F4" w:rsidRDefault="00C670F4">
      <w:r>
        <w:rPr>
          <w:noProof/>
        </w:rPr>
        <w:drawing>
          <wp:inline distT="0" distB="0" distL="0" distR="0" wp14:anchorId="6EB05308" wp14:editId="57948E2E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3FA4" w14:textId="50E7F85B" w:rsidR="00BA0383" w:rsidRDefault="00BA0383">
      <w:r>
        <w:rPr>
          <w:noProof/>
        </w:rPr>
        <w:drawing>
          <wp:inline distT="0" distB="0" distL="0" distR="0" wp14:anchorId="5519614E" wp14:editId="5C474E66">
            <wp:extent cx="5913120" cy="3695700"/>
            <wp:effectExtent l="0" t="0" r="0" b="0"/>
            <wp:docPr id="2" name="Picture 2" descr="CUDA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DA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9E1C" w14:textId="09D37625" w:rsidR="00B13012" w:rsidRDefault="00B13012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Although we have stated the hierarchy of threads, we should note that, threads, thread blocks and grid are essentially a programmer’s perspective. In order to get a complete gist of thread block, it is critical to know it from a hardware perspective. The hardware groups threads that execute the same instruction into warps. Several warps constitute a thread block. Several thread blocks are assigned to a Streaming Multiprocessor (SM). Several SM constitute the whole GPU unit (which executes the whole Kernel Grid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</w:t>
      </w:r>
      <w:proofErr w:type="gramEnd"/>
    </w:p>
    <w:p w14:paraId="106824CA" w14:textId="2ADEF0E3" w:rsidR="00B13012" w:rsidRDefault="00B13012">
      <w:r>
        <w:rPr>
          <w:noProof/>
        </w:rPr>
        <w:drawing>
          <wp:inline distT="0" distB="0" distL="0" distR="0" wp14:anchorId="1F59545C" wp14:editId="49FD0948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4BD0" w14:textId="77777777" w:rsidR="00853958" w:rsidRDefault="00853958" w:rsidP="008539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Each architecture in GPU (say </w:t>
      </w:r>
      <w:hyperlink r:id="rId8" w:tooltip="Kepler (microarchitectur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Kepler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9" w:tooltip="Fermi (microarchitectur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Fermi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 consists of several SM or Streaming Multiprocessors. These are general purpose processors with a low clock rate target and a small cache. An SM is able to execute several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thread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blocks in parallel. As soon as one of its thread blocks has completed execution, it takes up the serially next thread block. In general, SMs support </w:t>
      </w:r>
      <w:hyperlink r:id="rId10" w:tooltip="Instruction-level parallelis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instruction-level parallelism</w:t>
        </w:r>
      </w:hyperlink>
      <w:r>
        <w:rPr>
          <w:rFonts w:ascii="Arial" w:hAnsi="Arial" w:cs="Arial"/>
          <w:color w:val="202122"/>
          <w:sz w:val="21"/>
          <w:szCs w:val="21"/>
        </w:rPr>
        <w:t> but not branch prediction.</w:t>
      </w:r>
      <w:hyperlink r:id="rId11" w:anchor="cite_note-:1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14:paraId="00546A52" w14:textId="6DDD7190" w:rsidR="00853958" w:rsidRDefault="00853958" w:rsidP="00853958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 wp14:anchorId="4B0DD669" wp14:editId="123DF49A">
            <wp:extent cx="2095500" cy="1181100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73BA" w14:textId="77777777" w:rsidR="00853958" w:rsidRDefault="00853958" w:rsidP="00853958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An illustration of a streaming multiprocessor and its resources.</w:t>
      </w:r>
      <w:hyperlink r:id="rId14" w:anchor="cite_note-8" w:history="1">
        <w:r>
          <w:rPr>
            <w:rStyle w:val="Hyperlink"/>
            <w:rFonts w:ascii="Arial" w:hAnsi="Arial" w:cs="Arial"/>
            <w:color w:val="0645AD"/>
            <w:sz w:val="15"/>
            <w:szCs w:val="15"/>
            <w:vertAlign w:val="superscript"/>
          </w:rPr>
          <w:t>[8]</w:t>
        </w:r>
      </w:hyperlink>
    </w:p>
    <w:p w14:paraId="5187794B" w14:textId="77777777" w:rsidR="00853958" w:rsidRDefault="00853958" w:rsidP="0085395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achieve this purpose, an SM contains the following:</w:t>
      </w:r>
      <w:hyperlink r:id="rId15" w:anchor="cite_note-:1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14:paraId="5545087D" w14:textId="77777777" w:rsidR="00853958" w:rsidRDefault="00853958" w:rsidP="0085395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Execution cores. (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single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precision floating-point units, double precision floating-point units, special function units (SFUs)).</w:t>
      </w:r>
    </w:p>
    <w:p w14:paraId="54637FDF" w14:textId="77777777" w:rsidR="00853958" w:rsidRDefault="00853958" w:rsidP="0085395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Caches:</w:t>
      </w:r>
    </w:p>
    <w:p w14:paraId="082D6D66" w14:textId="77777777" w:rsidR="00853958" w:rsidRDefault="00853958" w:rsidP="0085395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L1 </w:t>
      </w:r>
      <w:hyperlink r:id="rId16" w:tooltip="Cache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cache</w:t>
        </w:r>
      </w:hyperlink>
      <w:r>
        <w:rPr>
          <w:rFonts w:ascii="Arial" w:hAnsi="Arial" w:cs="Arial"/>
          <w:color w:val="202122"/>
          <w:sz w:val="21"/>
          <w:szCs w:val="21"/>
        </w:rPr>
        <w:t>. (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for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reducing memory access latency).</w:t>
      </w:r>
    </w:p>
    <w:p w14:paraId="51CA9E4C" w14:textId="77777777" w:rsidR="00853958" w:rsidRDefault="00853958" w:rsidP="0085395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hyperlink r:id="rId17" w:tooltip="Shared mem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Shared memory</w:t>
        </w:r>
      </w:hyperlink>
      <w:r>
        <w:rPr>
          <w:rFonts w:ascii="Arial" w:hAnsi="Arial" w:cs="Arial"/>
          <w:color w:val="202122"/>
          <w:sz w:val="21"/>
          <w:szCs w:val="21"/>
        </w:rPr>
        <w:t>. (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for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shared data between threads).</w:t>
      </w:r>
    </w:p>
    <w:p w14:paraId="6527A4F2" w14:textId="77777777" w:rsidR="00853958" w:rsidRDefault="00853958" w:rsidP="0085395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Constant cache (for broadcasting of reads from a read-only memory).</w:t>
      </w:r>
    </w:p>
    <w:p w14:paraId="3CEFC1DD" w14:textId="77777777" w:rsidR="00853958" w:rsidRDefault="00853958" w:rsidP="0085395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hyperlink r:id="rId18" w:tooltip="Texture cach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Texture cache</w:t>
        </w:r>
      </w:hyperlink>
      <w:r>
        <w:rPr>
          <w:rFonts w:ascii="Arial" w:hAnsi="Arial" w:cs="Arial"/>
          <w:color w:val="202122"/>
          <w:sz w:val="21"/>
          <w:szCs w:val="21"/>
        </w:rPr>
        <w:t>. (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for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aggregating bandwidth from texture memory).</w:t>
      </w:r>
    </w:p>
    <w:p w14:paraId="45CBF308" w14:textId="77777777" w:rsidR="00853958" w:rsidRDefault="00853958"/>
    <w:sectPr w:rsidR="008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582"/>
    <w:multiLevelType w:val="multilevel"/>
    <w:tmpl w:val="F7E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1682A"/>
    <w:multiLevelType w:val="multilevel"/>
    <w:tmpl w:val="A2AE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B8"/>
    <w:rsid w:val="003768B8"/>
    <w:rsid w:val="00853958"/>
    <w:rsid w:val="00AA64B3"/>
    <w:rsid w:val="00B13012"/>
    <w:rsid w:val="00B426BC"/>
    <w:rsid w:val="00BA0383"/>
    <w:rsid w:val="00C6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DF5B"/>
  <w15:chartTrackingRefBased/>
  <w15:docId w15:val="{A42A9BBC-E632-44BF-A730-4DA06C9F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0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8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5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pler_(microarchitecture)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Texture_cac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File:Streaming-Multiprocessor.jpg" TargetMode="External"/><Relationship Id="rId17" Type="http://schemas.openxmlformats.org/officeDocument/2006/relationships/hyperlink" Target="https://en.wikipedia.org/wiki/Shared_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che_(computing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Thread_block_(CUDA_programming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Thread_block_(CUDA_programming)" TargetMode="External"/><Relationship Id="rId10" Type="http://schemas.openxmlformats.org/officeDocument/2006/relationships/hyperlink" Target="https://en.wikipedia.org/wiki/Instruction-level_parallelis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rmi_(microarchitecture)" TargetMode="External"/><Relationship Id="rId14" Type="http://schemas.openxmlformats.org/officeDocument/2006/relationships/hyperlink" Target="https://en.wikipedia.org/wiki/Thread_block_(CUDA_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pham</dc:creator>
  <cp:keywords/>
  <dc:description/>
  <cp:lastModifiedBy>thinh pham</cp:lastModifiedBy>
  <cp:revision>5</cp:revision>
  <dcterms:created xsi:type="dcterms:W3CDTF">2021-10-08T03:30:00Z</dcterms:created>
  <dcterms:modified xsi:type="dcterms:W3CDTF">2021-10-08T06:24:00Z</dcterms:modified>
</cp:coreProperties>
</file>