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740DF" w14:textId="05E53E13" w:rsidR="0057340A" w:rsidRDefault="0057340A" w:rsidP="0057340A">
      <w:r>
        <w:t>I. Multiple Choices</w:t>
      </w:r>
    </w:p>
    <w:tbl>
      <w:tblPr>
        <w:tblStyle w:val="TableGrid"/>
        <w:tblW w:w="0" w:type="auto"/>
        <w:tblLook w:val="04A0" w:firstRow="1" w:lastRow="0" w:firstColumn="1" w:lastColumn="0" w:noHBand="0" w:noVBand="1"/>
      </w:tblPr>
      <w:tblGrid>
        <w:gridCol w:w="4839"/>
        <w:gridCol w:w="4839"/>
      </w:tblGrid>
      <w:tr w:rsidR="0057340A" w14:paraId="56E370F8" w14:textId="77777777" w:rsidTr="0057340A">
        <w:tc>
          <w:tcPr>
            <w:tcW w:w="4839" w:type="dxa"/>
          </w:tcPr>
          <w:p w14:paraId="72A1DB5D" w14:textId="5C869BD2" w:rsidR="0057340A" w:rsidRDefault="0057340A">
            <w:r>
              <w:t>1. D</w:t>
            </w:r>
          </w:p>
        </w:tc>
        <w:tc>
          <w:tcPr>
            <w:tcW w:w="4839" w:type="dxa"/>
          </w:tcPr>
          <w:p w14:paraId="46697612" w14:textId="046CE0D6" w:rsidR="0057340A" w:rsidRDefault="0057340A">
            <w:r>
              <w:t>6. A</w:t>
            </w:r>
          </w:p>
        </w:tc>
      </w:tr>
      <w:tr w:rsidR="0057340A" w14:paraId="0FE8A96B" w14:textId="77777777" w:rsidTr="0057340A">
        <w:tc>
          <w:tcPr>
            <w:tcW w:w="4839" w:type="dxa"/>
          </w:tcPr>
          <w:p w14:paraId="6E71D187" w14:textId="65E4B051" w:rsidR="0057340A" w:rsidRDefault="0057340A">
            <w:r>
              <w:t>2. B</w:t>
            </w:r>
          </w:p>
        </w:tc>
        <w:tc>
          <w:tcPr>
            <w:tcW w:w="4839" w:type="dxa"/>
          </w:tcPr>
          <w:p w14:paraId="1F80166A" w14:textId="3241F9C0" w:rsidR="0057340A" w:rsidRDefault="0057340A">
            <w:r>
              <w:t>7. C</w:t>
            </w:r>
          </w:p>
        </w:tc>
      </w:tr>
      <w:tr w:rsidR="0057340A" w14:paraId="514A9996" w14:textId="77777777" w:rsidTr="0057340A">
        <w:tc>
          <w:tcPr>
            <w:tcW w:w="4839" w:type="dxa"/>
          </w:tcPr>
          <w:p w14:paraId="6BB8173B" w14:textId="33DB2A73" w:rsidR="0057340A" w:rsidRDefault="0057340A">
            <w:r>
              <w:t>3. C</w:t>
            </w:r>
          </w:p>
        </w:tc>
        <w:tc>
          <w:tcPr>
            <w:tcW w:w="4839" w:type="dxa"/>
          </w:tcPr>
          <w:p w14:paraId="10601677" w14:textId="5C2B0576" w:rsidR="0057340A" w:rsidRDefault="0057340A">
            <w:r>
              <w:t>8. D</w:t>
            </w:r>
          </w:p>
        </w:tc>
      </w:tr>
      <w:tr w:rsidR="0057340A" w14:paraId="682D383B" w14:textId="77777777" w:rsidTr="0057340A">
        <w:tc>
          <w:tcPr>
            <w:tcW w:w="4839" w:type="dxa"/>
          </w:tcPr>
          <w:p w14:paraId="35F2FED6" w14:textId="2F8C490C" w:rsidR="0057340A" w:rsidRDefault="0057340A">
            <w:r>
              <w:t>4. A</w:t>
            </w:r>
          </w:p>
        </w:tc>
        <w:tc>
          <w:tcPr>
            <w:tcW w:w="4839" w:type="dxa"/>
          </w:tcPr>
          <w:p w14:paraId="46272E6F" w14:textId="3F56F688" w:rsidR="0057340A" w:rsidRDefault="0057340A">
            <w:r>
              <w:t>9. D</w:t>
            </w:r>
          </w:p>
        </w:tc>
      </w:tr>
      <w:tr w:rsidR="0057340A" w14:paraId="0A0366D9" w14:textId="77777777" w:rsidTr="0057340A">
        <w:tc>
          <w:tcPr>
            <w:tcW w:w="4839" w:type="dxa"/>
          </w:tcPr>
          <w:p w14:paraId="29D31C75" w14:textId="2A3E8E84" w:rsidR="0057340A" w:rsidRDefault="0057340A">
            <w:r>
              <w:t>5. A</w:t>
            </w:r>
          </w:p>
        </w:tc>
        <w:tc>
          <w:tcPr>
            <w:tcW w:w="4839" w:type="dxa"/>
          </w:tcPr>
          <w:p w14:paraId="22F772FF" w14:textId="6C09FCF7" w:rsidR="0057340A" w:rsidRDefault="0057340A">
            <w:r>
              <w:t>10. B</w:t>
            </w:r>
          </w:p>
        </w:tc>
      </w:tr>
    </w:tbl>
    <w:p w14:paraId="7052B0D3" w14:textId="77777777" w:rsidR="0057340A" w:rsidRDefault="0057340A"/>
    <w:p w14:paraId="1456CB39" w14:textId="405AA402" w:rsidR="00132480" w:rsidRDefault="00132480">
      <w:r>
        <w:t>II. Short Answer</w:t>
      </w:r>
    </w:p>
    <w:p w14:paraId="73248E9A" w14:textId="77777777" w:rsidR="00250B78" w:rsidRDefault="00132480">
      <w:r>
        <w:t xml:space="preserve">1. </w:t>
      </w:r>
      <w:r w:rsidRPr="00132480">
        <w:t xml:space="preserve">Software professionals may overlook project cost management due to various reasons such as the focus on technical aspects, time constraints, or lack of experience. </w:t>
      </w:r>
    </w:p>
    <w:p w14:paraId="65740076" w14:textId="248C3DBA" w:rsidR="00132480" w:rsidRDefault="00132480" w:rsidP="00D44662">
      <w:r w:rsidRPr="00132480">
        <w:t>This oversight can lead to cost overruns, delays, and even project failure, as it is crucial to understand and manage costs to complete projects within budget.</w:t>
      </w:r>
    </w:p>
    <w:p w14:paraId="14B876CE" w14:textId="4C577F37" w:rsidR="00132480" w:rsidRDefault="00132480" w:rsidP="00132480">
      <w:r>
        <w:t>2. Basic principles of cost management include recognizing profits, considering life cycle costs, distinguishing between tangible and intangible costs and benefits, differentiating between direct and indirect costs, and establishing reserves for contingencies.</w:t>
      </w:r>
    </w:p>
    <w:p w14:paraId="3F974971" w14:textId="59A0573D" w:rsidR="00D44662" w:rsidRDefault="00D44662" w:rsidP="00132480">
      <w:r>
        <w:tab/>
        <w:t>Profits – the difference between revenues and expenditures.</w:t>
      </w:r>
    </w:p>
    <w:p w14:paraId="6EDD4C36" w14:textId="3FC5410F" w:rsidR="00803779" w:rsidRDefault="00803779" w:rsidP="00803779">
      <w:pPr>
        <w:ind w:firstLine="720"/>
      </w:pPr>
      <w:r w:rsidRPr="00803779">
        <w:t>Life cycle costing (LCC)</w:t>
      </w:r>
      <w:r>
        <w:t xml:space="preserve"> – a </w:t>
      </w:r>
      <w:r w:rsidRPr="00803779">
        <w:t>comprehensive approach that estimates the total costs associated with a project or asset throughout its entire life span, from planning through disposal. This method includes initial acquisition costs, operating and maintenance costs, and eventual disposal costs.</w:t>
      </w:r>
    </w:p>
    <w:p w14:paraId="5BF3CB69" w14:textId="2E7F83C5" w:rsidR="00803779" w:rsidRDefault="00803779" w:rsidP="00803779">
      <w:pPr>
        <w:ind w:firstLine="720"/>
      </w:pPr>
      <w:r>
        <w:t>Tangible cost – the cost that is easily measurable in monetary terms</w:t>
      </w:r>
    </w:p>
    <w:p w14:paraId="2489FB50" w14:textId="6F14AC66" w:rsidR="00803779" w:rsidRDefault="00803779" w:rsidP="00803779">
      <w:pPr>
        <w:ind w:firstLine="720"/>
      </w:pPr>
      <w:r>
        <w:t>Intangible cost – the cost which is more challenging to quantify financially</w:t>
      </w:r>
    </w:p>
    <w:p w14:paraId="3D3BAAAB" w14:textId="580CA6A0" w:rsidR="00863E18" w:rsidRDefault="00863E18" w:rsidP="00803779">
      <w:pPr>
        <w:ind w:firstLine="720"/>
      </w:pPr>
      <w:r>
        <w:t xml:space="preserve">Direct cost – the </w:t>
      </w:r>
      <w:r w:rsidRPr="00863E18">
        <w:t>expenses that can be directly attributed to a specific project, such as salaries for project team members or costs for materials used in production.</w:t>
      </w:r>
    </w:p>
    <w:p w14:paraId="44F00968" w14:textId="752BD609" w:rsidR="00863E18" w:rsidRDefault="00863E18" w:rsidP="00803779">
      <w:pPr>
        <w:ind w:firstLine="720"/>
      </w:pPr>
      <w:r>
        <w:t xml:space="preserve">Indirect cost </w:t>
      </w:r>
      <w:r w:rsidR="001026D4">
        <w:t>–</w:t>
      </w:r>
      <w:r>
        <w:t xml:space="preserve"> </w:t>
      </w:r>
      <w:r w:rsidR="001026D4">
        <w:t xml:space="preserve">the </w:t>
      </w:r>
      <w:r w:rsidR="001026D4" w:rsidRPr="001026D4">
        <w:t xml:space="preserve">costs </w:t>
      </w:r>
      <w:r w:rsidR="001026D4">
        <w:t xml:space="preserve">that </w:t>
      </w:r>
      <w:r w:rsidR="001026D4" w:rsidRPr="001026D4">
        <w:t>cannot be directly linked to a single project but are necessary for overall operations, such as utilities or administrative salaries.</w:t>
      </w:r>
    </w:p>
    <w:p w14:paraId="1678B431" w14:textId="77777777" w:rsidR="001026D4" w:rsidRDefault="00132480" w:rsidP="00132480">
      <w:r>
        <w:t>3. A sunk cost is a cost that has already been incurred and cannot be changed or avoided.</w:t>
      </w:r>
    </w:p>
    <w:p w14:paraId="4263FA9E" w14:textId="77777777" w:rsidR="001026D4" w:rsidRDefault="00132480" w:rsidP="00132480">
      <w:r>
        <w:t xml:space="preserve">Examples of typical sunk costs for a software project include development time invested, hardware and software purchases, and infrastructure setup. </w:t>
      </w:r>
    </w:p>
    <w:p w14:paraId="03B27F9A" w14:textId="7C28C03E" w:rsidR="00132480" w:rsidRDefault="00132480" w:rsidP="00132480">
      <w:r>
        <w:t>In personal life, sunk costs could include tuition fees paid, a car purchased, or a vacation trip taken is difficult for people to ignore sunk costs because of the psychological tendency to want to recoup the investment made, even if it is not economically rational to do so.</w:t>
      </w:r>
    </w:p>
    <w:p w14:paraId="57EF5C6B" w14:textId="77777777" w:rsidR="001026D4" w:rsidRDefault="00132480" w:rsidP="00132480">
      <w:r>
        <w:t xml:space="preserve">4. Analogous estimating involves using historical data from similar projects to estimate costs for the current project. </w:t>
      </w:r>
    </w:p>
    <w:p w14:paraId="277D0638" w14:textId="77777777" w:rsidR="001026D4" w:rsidRDefault="00132480" w:rsidP="00132480">
      <w:r>
        <w:t>Parametric estimating uses mathematical models and historical data to estimate costs based on factors such as size, complexity, and labor rates.</w:t>
      </w:r>
    </w:p>
    <w:p w14:paraId="71D5E459" w14:textId="02644A52" w:rsidR="00132480" w:rsidRDefault="00132480" w:rsidP="00132480">
      <w:r>
        <w:lastRenderedPageBreak/>
        <w:t>Bottom-up estimating involves breaking down the project into smaller, more manageable tasks and estimating costs for each task individually.</w:t>
      </w:r>
    </w:p>
    <w:p w14:paraId="6AFAAED5" w14:textId="183C13C7" w:rsidR="00132480" w:rsidRDefault="00132480" w:rsidP="00132480">
      <w:r>
        <w:t>5. During the process to determine the project cost, each technique is applied to estimate costs for different aspects of the project. The estimates are then combined to obtain a comprehensive cost estimate for the project. This estimate is used to plan, manage, and track project expenses and ensure that the project stays within budget.</w:t>
      </w:r>
    </w:p>
    <w:sectPr w:rsidR="00132480"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9B6"/>
    <w:multiLevelType w:val="hybridMultilevel"/>
    <w:tmpl w:val="97FC0452"/>
    <w:lvl w:ilvl="0" w:tplc="3CA27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F3955"/>
    <w:multiLevelType w:val="multilevel"/>
    <w:tmpl w:val="697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893928">
    <w:abstractNumId w:val="1"/>
  </w:num>
  <w:num w:numId="2" w16cid:durableId="123555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9"/>
    <w:rsid w:val="00063CB6"/>
    <w:rsid w:val="000871B2"/>
    <w:rsid w:val="001026D4"/>
    <w:rsid w:val="001064D4"/>
    <w:rsid w:val="00132480"/>
    <w:rsid w:val="00250B78"/>
    <w:rsid w:val="00297735"/>
    <w:rsid w:val="0057340A"/>
    <w:rsid w:val="00803779"/>
    <w:rsid w:val="00863E18"/>
    <w:rsid w:val="008D4679"/>
    <w:rsid w:val="00A9432E"/>
    <w:rsid w:val="00C86759"/>
    <w:rsid w:val="00D4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673A"/>
  <w15:chartTrackingRefBased/>
  <w15:docId w15:val="{9A1F4F70-64C9-465C-AFAA-21CE0D3B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80"/>
    <w:pPr>
      <w:ind w:left="720"/>
      <w:contextualSpacing/>
    </w:pPr>
  </w:style>
  <w:style w:type="table" w:styleId="TableGrid">
    <w:name w:val="Table Grid"/>
    <w:basedOn w:val="TableNormal"/>
    <w:uiPriority w:val="39"/>
    <w:rsid w:val="0057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2022">
      <w:bodyDiv w:val="1"/>
      <w:marLeft w:val="0"/>
      <w:marRight w:val="0"/>
      <w:marTop w:val="0"/>
      <w:marBottom w:val="0"/>
      <w:divBdr>
        <w:top w:val="none" w:sz="0" w:space="0" w:color="auto"/>
        <w:left w:val="none" w:sz="0" w:space="0" w:color="auto"/>
        <w:bottom w:val="none" w:sz="0" w:space="0" w:color="auto"/>
        <w:right w:val="none" w:sz="0" w:space="0" w:color="auto"/>
      </w:divBdr>
      <w:divsChild>
        <w:div w:id="1390879227">
          <w:marLeft w:val="0"/>
          <w:marRight w:val="0"/>
          <w:marTop w:val="0"/>
          <w:marBottom w:val="0"/>
          <w:divBdr>
            <w:top w:val="none" w:sz="0" w:space="0" w:color="auto"/>
            <w:left w:val="none" w:sz="0" w:space="0" w:color="auto"/>
            <w:bottom w:val="none" w:sz="0" w:space="0" w:color="auto"/>
            <w:right w:val="none" w:sz="0" w:space="0" w:color="auto"/>
          </w:divBdr>
        </w:div>
        <w:div w:id="1052540320">
          <w:marLeft w:val="0"/>
          <w:marRight w:val="0"/>
          <w:marTop w:val="0"/>
          <w:marBottom w:val="0"/>
          <w:divBdr>
            <w:top w:val="none" w:sz="0" w:space="0" w:color="auto"/>
            <w:left w:val="none" w:sz="0" w:space="0" w:color="auto"/>
            <w:bottom w:val="none" w:sz="0" w:space="0" w:color="auto"/>
            <w:right w:val="none" w:sz="0" w:space="0" w:color="auto"/>
          </w:divBdr>
        </w:div>
        <w:div w:id="95055225">
          <w:marLeft w:val="0"/>
          <w:marRight w:val="0"/>
          <w:marTop w:val="0"/>
          <w:marBottom w:val="0"/>
          <w:divBdr>
            <w:top w:val="none" w:sz="0" w:space="0" w:color="auto"/>
            <w:left w:val="none" w:sz="0" w:space="0" w:color="auto"/>
            <w:bottom w:val="none" w:sz="0" w:space="0" w:color="auto"/>
            <w:right w:val="none" w:sz="0" w:space="0" w:color="auto"/>
          </w:divBdr>
        </w:div>
        <w:div w:id="1868056338">
          <w:marLeft w:val="0"/>
          <w:marRight w:val="0"/>
          <w:marTop w:val="0"/>
          <w:marBottom w:val="0"/>
          <w:divBdr>
            <w:top w:val="none" w:sz="0" w:space="0" w:color="auto"/>
            <w:left w:val="none" w:sz="0" w:space="0" w:color="auto"/>
            <w:bottom w:val="none" w:sz="0" w:space="0" w:color="auto"/>
            <w:right w:val="none" w:sz="0" w:space="0" w:color="auto"/>
          </w:divBdr>
        </w:div>
      </w:divsChild>
    </w:div>
    <w:div w:id="592860840">
      <w:bodyDiv w:val="1"/>
      <w:marLeft w:val="0"/>
      <w:marRight w:val="0"/>
      <w:marTop w:val="0"/>
      <w:marBottom w:val="0"/>
      <w:divBdr>
        <w:top w:val="none" w:sz="0" w:space="0" w:color="auto"/>
        <w:left w:val="none" w:sz="0" w:space="0" w:color="auto"/>
        <w:bottom w:val="none" w:sz="0" w:space="0" w:color="auto"/>
        <w:right w:val="none" w:sz="0" w:space="0" w:color="auto"/>
      </w:divBdr>
      <w:divsChild>
        <w:div w:id="388698413">
          <w:marLeft w:val="0"/>
          <w:marRight w:val="0"/>
          <w:marTop w:val="0"/>
          <w:marBottom w:val="0"/>
          <w:divBdr>
            <w:top w:val="none" w:sz="0" w:space="0" w:color="auto"/>
            <w:left w:val="none" w:sz="0" w:space="0" w:color="auto"/>
            <w:bottom w:val="none" w:sz="0" w:space="0" w:color="auto"/>
            <w:right w:val="none" w:sz="0" w:space="0" w:color="auto"/>
          </w:divBdr>
        </w:div>
        <w:div w:id="1993606537">
          <w:marLeft w:val="0"/>
          <w:marRight w:val="0"/>
          <w:marTop w:val="0"/>
          <w:marBottom w:val="0"/>
          <w:divBdr>
            <w:top w:val="none" w:sz="0" w:space="0" w:color="auto"/>
            <w:left w:val="none" w:sz="0" w:space="0" w:color="auto"/>
            <w:bottom w:val="none" w:sz="0" w:space="0" w:color="auto"/>
            <w:right w:val="none" w:sz="0" w:space="0" w:color="auto"/>
          </w:divBdr>
        </w:div>
        <w:div w:id="1357348266">
          <w:marLeft w:val="0"/>
          <w:marRight w:val="0"/>
          <w:marTop w:val="0"/>
          <w:marBottom w:val="0"/>
          <w:divBdr>
            <w:top w:val="none" w:sz="0" w:space="0" w:color="auto"/>
            <w:left w:val="none" w:sz="0" w:space="0" w:color="auto"/>
            <w:bottom w:val="none" w:sz="0" w:space="0" w:color="auto"/>
            <w:right w:val="none" w:sz="0" w:space="0" w:color="auto"/>
          </w:divBdr>
        </w:div>
        <w:div w:id="229772800">
          <w:marLeft w:val="0"/>
          <w:marRight w:val="0"/>
          <w:marTop w:val="0"/>
          <w:marBottom w:val="0"/>
          <w:divBdr>
            <w:top w:val="none" w:sz="0" w:space="0" w:color="auto"/>
            <w:left w:val="none" w:sz="0" w:space="0" w:color="auto"/>
            <w:bottom w:val="none" w:sz="0" w:space="0" w:color="auto"/>
            <w:right w:val="none" w:sz="0" w:space="0" w:color="auto"/>
          </w:divBdr>
        </w:div>
      </w:divsChild>
    </w:div>
    <w:div w:id="648438944">
      <w:bodyDiv w:val="1"/>
      <w:marLeft w:val="0"/>
      <w:marRight w:val="0"/>
      <w:marTop w:val="0"/>
      <w:marBottom w:val="0"/>
      <w:divBdr>
        <w:top w:val="none" w:sz="0" w:space="0" w:color="auto"/>
        <w:left w:val="none" w:sz="0" w:space="0" w:color="auto"/>
        <w:bottom w:val="none" w:sz="0" w:space="0" w:color="auto"/>
        <w:right w:val="none" w:sz="0" w:space="0" w:color="auto"/>
      </w:divBdr>
      <w:divsChild>
        <w:div w:id="140973479">
          <w:marLeft w:val="0"/>
          <w:marRight w:val="0"/>
          <w:marTop w:val="0"/>
          <w:marBottom w:val="0"/>
          <w:divBdr>
            <w:top w:val="none" w:sz="0" w:space="0" w:color="auto"/>
            <w:left w:val="none" w:sz="0" w:space="0" w:color="auto"/>
            <w:bottom w:val="none" w:sz="0" w:space="0" w:color="auto"/>
            <w:right w:val="none" w:sz="0" w:space="0" w:color="auto"/>
          </w:divBdr>
        </w:div>
      </w:divsChild>
    </w:div>
    <w:div w:id="798305199">
      <w:bodyDiv w:val="1"/>
      <w:marLeft w:val="0"/>
      <w:marRight w:val="0"/>
      <w:marTop w:val="0"/>
      <w:marBottom w:val="0"/>
      <w:divBdr>
        <w:top w:val="none" w:sz="0" w:space="0" w:color="auto"/>
        <w:left w:val="none" w:sz="0" w:space="0" w:color="auto"/>
        <w:bottom w:val="none" w:sz="0" w:space="0" w:color="auto"/>
        <w:right w:val="none" w:sz="0" w:space="0" w:color="auto"/>
      </w:divBdr>
      <w:divsChild>
        <w:div w:id="799373254">
          <w:marLeft w:val="0"/>
          <w:marRight w:val="0"/>
          <w:marTop w:val="0"/>
          <w:marBottom w:val="0"/>
          <w:divBdr>
            <w:top w:val="none" w:sz="0" w:space="0" w:color="auto"/>
            <w:left w:val="none" w:sz="0" w:space="0" w:color="auto"/>
            <w:bottom w:val="none" w:sz="0" w:space="0" w:color="auto"/>
            <w:right w:val="none" w:sz="0" w:space="0" w:color="auto"/>
          </w:divBdr>
        </w:div>
        <w:div w:id="153228784">
          <w:marLeft w:val="0"/>
          <w:marRight w:val="0"/>
          <w:marTop w:val="0"/>
          <w:marBottom w:val="0"/>
          <w:divBdr>
            <w:top w:val="none" w:sz="0" w:space="0" w:color="auto"/>
            <w:left w:val="none" w:sz="0" w:space="0" w:color="auto"/>
            <w:bottom w:val="none" w:sz="0" w:space="0" w:color="auto"/>
            <w:right w:val="none" w:sz="0" w:space="0" w:color="auto"/>
          </w:divBdr>
        </w:div>
        <w:div w:id="931819780">
          <w:marLeft w:val="0"/>
          <w:marRight w:val="0"/>
          <w:marTop w:val="0"/>
          <w:marBottom w:val="0"/>
          <w:divBdr>
            <w:top w:val="none" w:sz="0" w:space="0" w:color="auto"/>
            <w:left w:val="none" w:sz="0" w:space="0" w:color="auto"/>
            <w:bottom w:val="none" w:sz="0" w:space="0" w:color="auto"/>
            <w:right w:val="none" w:sz="0" w:space="0" w:color="auto"/>
          </w:divBdr>
        </w:div>
        <w:div w:id="1034579760">
          <w:marLeft w:val="0"/>
          <w:marRight w:val="0"/>
          <w:marTop w:val="0"/>
          <w:marBottom w:val="0"/>
          <w:divBdr>
            <w:top w:val="none" w:sz="0" w:space="0" w:color="auto"/>
            <w:left w:val="none" w:sz="0" w:space="0" w:color="auto"/>
            <w:bottom w:val="none" w:sz="0" w:space="0" w:color="auto"/>
            <w:right w:val="none" w:sz="0" w:space="0" w:color="auto"/>
          </w:divBdr>
        </w:div>
      </w:divsChild>
    </w:div>
    <w:div w:id="1009600528">
      <w:bodyDiv w:val="1"/>
      <w:marLeft w:val="0"/>
      <w:marRight w:val="0"/>
      <w:marTop w:val="0"/>
      <w:marBottom w:val="0"/>
      <w:divBdr>
        <w:top w:val="none" w:sz="0" w:space="0" w:color="auto"/>
        <w:left w:val="none" w:sz="0" w:space="0" w:color="auto"/>
        <w:bottom w:val="none" w:sz="0" w:space="0" w:color="auto"/>
        <w:right w:val="none" w:sz="0" w:space="0" w:color="auto"/>
      </w:divBdr>
      <w:divsChild>
        <w:div w:id="1599752180">
          <w:marLeft w:val="0"/>
          <w:marRight w:val="0"/>
          <w:marTop w:val="0"/>
          <w:marBottom w:val="0"/>
          <w:divBdr>
            <w:top w:val="none" w:sz="0" w:space="0" w:color="auto"/>
            <w:left w:val="none" w:sz="0" w:space="0" w:color="auto"/>
            <w:bottom w:val="none" w:sz="0" w:space="0" w:color="auto"/>
            <w:right w:val="none" w:sz="0" w:space="0" w:color="auto"/>
          </w:divBdr>
        </w:div>
        <w:div w:id="1998343249">
          <w:marLeft w:val="0"/>
          <w:marRight w:val="0"/>
          <w:marTop w:val="0"/>
          <w:marBottom w:val="0"/>
          <w:divBdr>
            <w:top w:val="none" w:sz="0" w:space="0" w:color="auto"/>
            <w:left w:val="none" w:sz="0" w:space="0" w:color="auto"/>
            <w:bottom w:val="none" w:sz="0" w:space="0" w:color="auto"/>
            <w:right w:val="none" w:sz="0" w:space="0" w:color="auto"/>
          </w:divBdr>
        </w:div>
        <w:div w:id="1593666942">
          <w:marLeft w:val="0"/>
          <w:marRight w:val="0"/>
          <w:marTop w:val="0"/>
          <w:marBottom w:val="0"/>
          <w:divBdr>
            <w:top w:val="none" w:sz="0" w:space="0" w:color="auto"/>
            <w:left w:val="none" w:sz="0" w:space="0" w:color="auto"/>
            <w:bottom w:val="none" w:sz="0" w:space="0" w:color="auto"/>
            <w:right w:val="none" w:sz="0" w:space="0" w:color="auto"/>
          </w:divBdr>
        </w:div>
        <w:div w:id="427239588">
          <w:marLeft w:val="0"/>
          <w:marRight w:val="0"/>
          <w:marTop w:val="0"/>
          <w:marBottom w:val="0"/>
          <w:divBdr>
            <w:top w:val="none" w:sz="0" w:space="0" w:color="auto"/>
            <w:left w:val="none" w:sz="0" w:space="0" w:color="auto"/>
            <w:bottom w:val="none" w:sz="0" w:space="0" w:color="auto"/>
            <w:right w:val="none" w:sz="0" w:space="0" w:color="auto"/>
          </w:divBdr>
        </w:div>
      </w:divsChild>
    </w:div>
    <w:div w:id="1341464988">
      <w:bodyDiv w:val="1"/>
      <w:marLeft w:val="0"/>
      <w:marRight w:val="0"/>
      <w:marTop w:val="0"/>
      <w:marBottom w:val="0"/>
      <w:divBdr>
        <w:top w:val="none" w:sz="0" w:space="0" w:color="auto"/>
        <w:left w:val="none" w:sz="0" w:space="0" w:color="auto"/>
        <w:bottom w:val="none" w:sz="0" w:space="0" w:color="auto"/>
        <w:right w:val="none" w:sz="0" w:space="0" w:color="auto"/>
      </w:divBdr>
      <w:divsChild>
        <w:div w:id="1342200320">
          <w:marLeft w:val="0"/>
          <w:marRight w:val="0"/>
          <w:marTop w:val="0"/>
          <w:marBottom w:val="0"/>
          <w:divBdr>
            <w:top w:val="none" w:sz="0" w:space="0" w:color="auto"/>
            <w:left w:val="none" w:sz="0" w:space="0" w:color="auto"/>
            <w:bottom w:val="none" w:sz="0" w:space="0" w:color="auto"/>
            <w:right w:val="none" w:sz="0" w:space="0" w:color="auto"/>
          </w:divBdr>
        </w:div>
      </w:divsChild>
    </w:div>
    <w:div w:id="1503472456">
      <w:bodyDiv w:val="1"/>
      <w:marLeft w:val="0"/>
      <w:marRight w:val="0"/>
      <w:marTop w:val="0"/>
      <w:marBottom w:val="0"/>
      <w:divBdr>
        <w:top w:val="none" w:sz="0" w:space="0" w:color="auto"/>
        <w:left w:val="none" w:sz="0" w:space="0" w:color="auto"/>
        <w:bottom w:val="none" w:sz="0" w:space="0" w:color="auto"/>
        <w:right w:val="none" w:sz="0" w:space="0" w:color="auto"/>
      </w:divBdr>
      <w:divsChild>
        <w:div w:id="905451400">
          <w:marLeft w:val="0"/>
          <w:marRight w:val="0"/>
          <w:marTop w:val="0"/>
          <w:marBottom w:val="0"/>
          <w:divBdr>
            <w:top w:val="none" w:sz="0" w:space="0" w:color="auto"/>
            <w:left w:val="none" w:sz="0" w:space="0" w:color="auto"/>
            <w:bottom w:val="none" w:sz="0" w:space="0" w:color="auto"/>
            <w:right w:val="none" w:sz="0" w:space="0" w:color="auto"/>
          </w:divBdr>
        </w:div>
      </w:divsChild>
    </w:div>
    <w:div w:id="1777478117">
      <w:bodyDiv w:val="1"/>
      <w:marLeft w:val="0"/>
      <w:marRight w:val="0"/>
      <w:marTop w:val="0"/>
      <w:marBottom w:val="0"/>
      <w:divBdr>
        <w:top w:val="none" w:sz="0" w:space="0" w:color="auto"/>
        <w:left w:val="none" w:sz="0" w:space="0" w:color="auto"/>
        <w:bottom w:val="none" w:sz="0" w:space="0" w:color="auto"/>
        <w:right w:val="none" w:sz="0" w:space="0" w:color="auto"/>
      </w:divBdr>
      <w:divsChild>
        <w:div w:id="607784380">
          <w:marLeft w:val="0"/>
          <w:marRight w:val="0"/>
          <w:marTop w:val="0"/>
          <w:marBottom w:val="0"/>
          <w:divBdr>
            <w:top w:val="none" w:sz="0" w:space="0" w:color="auto"/>
            <w:left w:val="none" w:sz="0" w:space="0" w:color="auto"/>
            <w:bottom w:val="none" w:sz="0" w:space="0" w:color="auto"/>
            <w:right w:val="none" w:sz="0" w:space="0" w:color="auto"/>
          </w:divBdr>
        </w:div>
        <w:div w:id="1961691229">
          <w:marLeft w:val="0"/>
          <w:marRight w:val="0"/>
          <w:marTop w:val="0"/>
          <w:marBottom w:val="0"/>
          <w:divBdr>
            <w:top w:val="none" w:sz="0" w:space="0" w:color="auto"/>
            <w:left w:val="none" w:sz="0" w:space="0" w:color="auto"/>
            <w:bottom w:val="none" w:sz="0" w:space="0" w:color="auto"/>
            <w:right w:val="none" w:sz="0" w:space="0" w:color="auto"/>
          </w:divBdr>
        </w:div>
        <w:div w:id="1642883354">
          <w:marLeft w:val="0"/>
          <w:marRight w:val="0"/>
          <w:marTop w:val="0"/>
          <w:marBottom w:val="0"/>
          <w:divBdr>
            <w:top w:val="none" w:sz="0" w:space="0" w:color="auto"/>
            <w:left w:val="none" w:sz="0" w:space="0" w:color="auto"/>
            <w:bottom w:val="none" w:sz="0" w:space="0" w:color="auto"/>
            <w:right w:val="none" w:sz="0" w:space="0" w:color="auto"/>
          </w:divBdr>
        </w:div>
        <w:div w:id="541408066">
          <w:marLeft w:val="0"/>
          <w:marRight w:val="0"/>
          <w:marTop w:val="0"/>
          <w:marBottom w:val="0"/>
          <w:divBdr>
            <w:top w:val="none" w:sz="0" w:space="0" w:color="auto"/>
            <w:left w:val="none" w:sz="0" w:space="0" w:color="auto"/>
            <w:bottom w:val="none" w:sz="0" w:space="0" w:color="auto"/>
            <w:right w:val="none" w:sz="0" w:space="0" w:color="auto"/>
          </w:divBdr>
        </w:div>
      </w:divsChild>
    </w:div>
    <w:div w:id="1854877453">
      <w:bodyDiv w:val="1"/>
      <w:marLeft w:val="0"/>
      <w:marRight w:val="0"/>
      <w:marTop w:val="0"/>
      <w:marBottom w:val="0"/>
      <w:divBdr>
        <w:top w:val="none" w:sz="0" w:space="0" w:color="auto"/>
        <w:left w:val="none" w:sz="0" w:space="0" w:color="auto"/>
        <w:bottom w:val="none" w:sz="0" w:space="0" w:color="auto"/>
        <w:right w:val="none" w:sz="0" w:space="0" w:color="auto"/>
      </w:divBdr>
      <w:divsChild>
        <w:div w:id="199827258">
          <w:marLeft w:val="0"/>
          <w:marRight w:val="0"/>
          <w:marTop w:val="0"/>
          <w:marBottom w:val="0"/>
          <w:divBdr>
            <w:top w:val="none" w:sz="0" w:space="0" w:color="auto"/>
            <w:left w:val="none" w:sz="0" w:space="0" w:color="auto"/>
            <w:bottom w:val="none" w:sz="0" w:space="0" w:color="auto"/>
            <w:right w:val="none" w:sz="0" w:space="0" w:color="auto"/>
          </w:divBdr>
        </w:div>
        <w:div w:id="108596781">
          <w:marLeft w:val="0"/>
          <w:marRight w:val="0"/>
          <w:marTop w:val="0"/>
          <w:marBottom w:val="0"/>
          <w:divBdr>
            <w:top w:val="none" w:sz="0" w:space="0" w:color="auto"/>
            <w:left w:val="none" w:sz="0" w:space="0" w:color="auto"/>
            <w:bottom w:val="none" w:sz="0" w:space="0" w:color="auto"/>
            <w:right w:val="none" w:sz="0" w:space="0" w:color="auto"/>
          </w:divBdr>
        </w:div>
        <w:div w:id="1472673030">
          <w:marLeft w:val="0"/>
          <w:marRight w:val="0"/>
          <w:marTop w:val="0"/>
          <w:marBottom w:val="0"/>
          <w:divBdr>
            <w:top w:val="none" w:sz="0" w:space="0" w:color="auto"/>
            <w:left w:val="none" w:sz="0" w:space="0" w:color="auto"/>
            <w:bottom w:val="none" w:sz="0" w:space="0" w:color="auto"/>
            <w:right w:val="none" w:sz="0" w:space="0" w:color="auto"/>
          </w:divBdr>
        </w:div>
        <w:div w:id="754863622">
          <w:marLeft w:val="0"/>
          <w:marRight w:val="0"/>
          <w:marTop w:val="0"/>
          <w:marBottom w:val="0"/>
          <w:divBdr>
            <w:top w:val="none" w:sz="0" w:space="0" w:color="auto"/>
            <w:left w:val="none" w:sz="0" w:space="0" w:color="auto"/>
            <w:bottom w:val="none" w:sz="0" w:space="0" w:color="auto"/>
            <w:right w:val="none" w:sz="0" w:space="0" w:color="auto"/>
          </w:divBdr>
        </w:div>
      </w:divsChild>
    </w:div>
    <w:div w:id="2049334111">
      <w:bodyDiv w:val="1"/>
      <w:marLeft w:val="0"/>
      <w:marRight w:val="0"/>
      <w:marTop w:val="0"/>
      <w:marBottom w:val="0"/>
      <w:divBdr>
        <w:top w:val="none" w:sz="0" w:space="0" w:color="auto"/>
        <w:left w:val="none" w:sz="0" w:space="0" w:color="auto"/>
        <w:bottom w:val="none" w:sz="0" w:space="0" w:color="auto"/>
        <w:right w:val="none" w:sz="0" w:space="0" w:color="auto"/>
      </w:divBdr>
      <w:divsChild>
        <w:div w:id="213872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8</cp:revision>
  <dcterms:created xsi:type="dcterms:W3CDTF">2024-09-17T10:13:00Z</dcterms:created>
  <dcterms:modified xsi:type="dcterms:W3CDTF">2024-09-17T11:06:00Z</dcterms:modified>
</cp:coreProperties>
</file>