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RemcosRAT case study evidence review</w:t>
      </w:r>
    </w:p>
    <w:p>
      <w:r>
        <w:t>PRT840  |  CTU-SME-11 Windows VM3  |  22 February 2023 UTC</w:t>
        <w:br/>
        <w:t>Working draft updated 28 September 2026</w:t>
      </w:r>
    </w:p>
    <w:p>
      <w:pPr>
        <w:pStyle w:val="Heading1"/>
      </w:pPr>
      <w:r>
        <w:t>Study purpose and method</w:t>
      </w:r>
    </w:p>
    <w:p>
      <w:r>
        <w:t>This case study examines network evidence, retrospective cyber threat intelligence (CTI) and local large language model (LLM) outputs for a RemcosRAT-labelled dataset slice. The endpoint match supports investigation, but the observed flows do not by themselves establish successful command and control or exfiltration. The original two-run comparison and three later development experiments show that valid output format and official ATT&amp;CK references can coexist with unsupported mappings and factual errors. This is an evidence review for the team and supervisor, not a validated automated incident-response playbook (Duong 2026; PRT840 project team 2026d, 2026e, 2026f).</w:t>
      </w:r>
    </w:p>
    <w:p>
      <w:r>
        <w:t>The main evidence window is 22 February 2023, selected by connection start time in UTC across the seven daily log folders. The 33,747 selected records carry RemcosRAT-related dataset annotations. These annotations explain the case name and retrospective selection; the binary classifiers do not establish the malware family. The graph is a labelled case reconstruction, not a demonstrated live pipeline from a model alert (Bendl, Valeros and Garcia 2023; PRT840 project team 2026a).</w:t>
      </w:r>
    </w:p>
    <w:p>
      <w:r>
        <w:t>Dataset labels provide the evaluation reference and explain retrospective case selection. CTI is used after detection to assess endpoint attribution, not as an active classifier input or independent proof of the dataset labels. The LLM prompts withhold the dataset attack labels and model correct/missed outcomes while supplying network aggregates and ATT&amp;CK definitions. This does not remove selection bias, and no end-to-end alert-to-playbook result is demonstrated (Duong 2026; PRT840 project team 2026a).</w:t>
      </w:r>
    </w:p>
    <w:p>
      <w:pPr>
        <w:pStyle w:val="Heading1"/>
      </w:pPr>
      <w:r>
        <w:t>Observed network evidence</w:t>
      </w:r>
    </w:p>
    <w:p>
      <w:r>
        <w:t>All selected records originate from 192.168.1.107. Table 1 separates the dominant endpoint from the three HTTP records. Originator bytes travel from this source towards the destination; responder bytes travel in the reverse direction. These are recorded Zeek counters, not verified amounts of stolen data (PRT840 project team 2026a; Zeek Project n.d.).</w:t>
      </w:r>
    </w:p>
    <w:p>
      <w:pPr>
        <w:pStyle w:val="Caption"/>
        <w:keepNext/>
      </w:pPr>
      <w:r>
        <w:t>Table 1. Selected flows starting on 22 February 2023 UTC. Source: team-generated case summary and aggregated edges (PRT840 project team 2026a).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448"/>
        <w:gridCol w:w="950"/>
        <w:gridCol w:w="2894"/>
        <w:gridCol w:w="3499"/>
      </w:tblGrid>
      <w:tr>
        <w:trPr>
          <w:cantSplit/>
          <w:tblHeader/>
        </w:trPr>
        <w:tc>
          <w:tcPr>
            <w:tcW w:type="dxa" w:w="2448"/>
            <w:vAlign w:val="center"/>
            <w:tcMar>
              <w:top w:w="75" w:type="dxa"/>
              <w:bottom w:w="75" w:type="dxa"/>
              <w:left w:w="100" w:type="dxa"/>
              <w:right w:w="100" w:type="dxa"/>
            </w:tcMar>
            <w:shd w:fill="DCE6EF"/>
          </w:tcPr>
          <w:p>
            <w:pPr>
              <w:keepNext/>
              <w:spacing w:after="20" w:before="20" w:line="240" w:lineRule="auto"/>
            </w:pPr>
            <w:r>
              <w:rPr>
                <w:b w:val="0"/>
                <w:sz w:val="21"/>
              </w:rPr>
              <w:t>Destination</w:t>
            </w:r>
          </w:p>
        </w:tc>
        <w:tc>
          <w:tcPr>
            <w:tcW w:type="dxa" w:w="950"/>
            <w:vAlign w:val="center"/>
            <w:tcMar>
              <w:top w:w="75" w:type="dxa"/>
              <w:bottom w:w="75" w:type="dxa"/>
              <w:left w:w="100" w:type="dxa"/>
              <w:right w:w="100" w:type="dxa"/>
            </w:tcMar>
            <w:shd w:fill="DCE6EF"/>
          </w:tcPr>
          <w:p>
            <w:pPr>
              <w:keepNext/>
              <w:spacing w:after="20" w:before="20" w:line="240" w:lineRule="auto"/>
              <w:jc w:val="center"/>
            </w:pPr>
            <w:r>
              <w:rPr>
                <w:b w:val="0"/>
                <w:sz w:val="21"/>
              </w:rPr>
              <w:t>Flows</w:t>
            </w:r>
          </w:p>
        </w:tc>
        <w:tc>
          <w:tcPr>
            <w:tcW w:type="dxa" w:w="2894"/>
            <w:vAlign w:val="center"/>
            <w:tcMar>
              <w:top w:w="75" w:type="dxa"/>
              <w:bottom w:w="75" w:type="dxa"/>
              <w:left w:w="100" w:type="dxa"/>
              <w:right w:w="100" w:type="dxa"/>
            </w:tcMar>
            <w:shd w:fill="DCE6EF"/>
          </w:tcPr>
          <w:p>
            <w:pPr>
              <w:keepNext/>
              <w:spacing w:after="20" w:before="20" w:line="240" w:lineRule="auto"/>
            </w:pPr>
            <w:r>
              <w:rPr>
                <w:b w:val="0"/>
                <w:sz w:val="21"/>
              </w:rPr>
              <w:t>Recorded originator / responder bytes</w:t>
            </w:r>
          </w:p>
        </w:tc>
        <w:tc>
          <w:tcPr>
            <w:tcW w:type="dxa" w:w="3499"/>
            <w:vAlign w:val="center"/>
            <w:tcMar>
              <w:top w:w="75" w:type="dxa"/>
              <w:bottom w:w="75" w:type="dxa"/>
              <w:left w:w="100" w:type="dxa"/>
              <w:right w:w="100" w:type="dxa"/>
            </w:tcMar>
            <w:shd w:fill="DCE6EF"/>
          </w:tcPr>
          <w:p>
            <w:pPr>
              <w:keepNext/>
              <w:spacing w:after="20" w:before="20" w:line="240" w:lineRule="auto"/>
            </w:pPr>
            <w:r>
              <w:rPr>
                <w:b w:val="0"/>
                <w:sz w:val="21"/>
              </w:rPr>
              <w:t>Connection states</w:t>
            </w:r>
          </w:p>
        </w:tc>
      </w:tr>
      <w:tr>
        <w:trPr>
          <w:cantSplit/>
        </w:trPr>
        <w:tc>
          <w:tcPr>
            <w:tcW w:type="dxa" w:w="2448"/>
            <w:vAlign w:val="center"/>
            <w:tcMar>
              <w:top w:w="75" w:type="dxa"/>
              <w:bottom w:w="75" w:type="dxa"/>
              <w:left w:w="100" w:type="dxa"/>
              <w:right w:w="100" w:type="dxa"/>
            </w:tcMar>
          </w:tcPr>
          <w:p>
            <w:pPr>
              <w:keepNext w:val="0"/>
              <w:spacing w:after="20" w:before="20" w:line="240" w:lineRule="auto"/>
            </w:pPr>
            <w:r>
              <w:rPr>
                <w:b w:val="0"/>
                <w:sz w:val="21"/>
              </w:rPr>
              <w:t>66.63.168.35:5888</w:t>
            </w:r>
          </w:p>
        </w:tc>
        <w:tc>
          <w:tcPr>
            <w:tcW w:type="dxa" w:w="950"/>
            <w:vAlign w:val="center"/>
            <w:tcMar>
              <w:top w:w="75" w:type="dxa"/>
              <w:bottom w:w="75" w:type="dxa"/>
              <w:left w:w="100" w:type="dxa"/>
              <w:right w:w="100" w:type="dxa"/>
            </w:tcMar>
          </w:tcPr>
          <w:p>
            <w:pPr>
              <w:keepNext w:val="0"/>
              <w:spacing w:after="20" w:before="20" w:line="240" w:lineRule="auto"/>
              <w:jc w:val="center"/>
            </w:pPr>
            <w:r>
              <w:rPr>
                <w:b w:val="0"/>
                <w:sz w:val="21"/>
              </w:rPr>
              <w:t>33,744</w:t>
            </w:r>
          </w:p>
        </w:tc>
        <w:tc>
          <w:tcPr>
            <w:tcW w:type="dxa" w:w="2894"/>
            <w:vAlign w:val="center"/>
            <w:tcMar>
              <w:top w:w="75" w:type="dxa"/>
              <w:bottom w:w="75" w:type="dxa"/>
              <w:left w:w="100" w:type="dxa"/>
              <w:right w:w="100" w:type="dxa"/>
            </w:tcMar>
          </w:tcPr>
          <w:p>
            <w:pPr>
              <w:keepNext w:val="0"/>
              <w:spacing w:after="20" w:before="20" w:line="240" w:lineRule="auto"/>
            </w:pPr>
            <w:r>
              <w:rPr>
                <w:b w:val="0"/>
                <w:sz w:val="21"/>
              </w:rPr>
              <w:t>190,672,103 / 435,984</w:t>
            </w:r>
          </w:p>
        </w:tc>
        <w:tc>
          <w:tcPr>
            <w:tcW w:type="dxa" w:w="3499"/>
            <w:vAlign w:val="center"/>
            <w:tcMar>
              <w:top w:w="75" w:type="dxa"/>
              <w:bottom w:w="75" w:type="dxa"/>
              <w:left w:w="100" w:type="dxa"/>
              <w:right w:w="100" w:type="dxa"/>
            </w:tcMar>
          </w:tcPr>
          <w:p>
            <w:pPr>
              <w:keepNext w:val="0"/>
              <w:spacing w:after="20" w:before="20" w:line="240" w:lineRule="auto"/>
            </w:pPr>
            <w:r>
              <w:rPr>
                <w:b w:val="0"/>
                <w:sz w:val="21"/>
              </w:rPr>
              <w:t>REJ 33,630; S0 106; RSTR 8</w:t>
            </w:r>
          </w:p>
        </w:tc>
      </w:tr>
      <w:tr>
        <w:trPr>
          <w:cantSplit/>
        </w:trPr>
        <w:tc>
          <w:tcPr>
            <w:tcW w:type="dxa" w:w="2448"/>
            <w:vAlign w:val="center"/>
            <w:tcMar>
              <w:top w:w="75" w:type="dxa"/>
              <w:bottom w:w="75" w:type="dxa"/>
              <w:left w:w="100" w:type="dxa"/>
              <w:right w:w="100" w:type="dxa"/>
            </w:tcMar>
          </w:tcPr>
          <w:p>
            <w:pPr>
              <w:keepNext w:val="0"/>
              <w:spacing w:after="20" w:before="20" w:line="240" w:lineRule="auto"/>
            </w:pPr>
            <w:r>
              <w:rPr>
                <w:b w:val="0"/>
                <w:sz w:val="21"/>
              </w:rPr>
              <w:t>178.237.33.50:80</w:t>
            </w:r>
          </w:p>
        </w:tc>
        <w:tc>
          <w:tcPr>
            <w:tcW w:type="dxa" w:w="950"/>
            <w:vAlign w:val="center"/>
            <w:tcMar>
              <w:top w:w="75" w:type="dxa"/>
              <w:bottom w:w="75" w:type="dxa"/>
              <w:left w:w="100" w:type="dxa"/>
              <w:right w:w="100" w:type="dxa"/>
            </w:tcMar>
          </w:tcPr>
          <w:p>
            <w:pPr>
              <w:keepNext w:val="0"/>
              <w:spacing w:after="20" w:before="20" w:line="240" w:lineRule="auto"/>
              <w:jc w:val="center"/>
            </w:pPr>
            <w:r>
              <w:rPr>
                <w:b w:val="0"/>
                <w:sz w:val="21"/>
              </w:rPr>
              <w:t>3</w:t>
            </w:r>
          </w:p>
        </w:tc>
        <w:tc>
          <w:tcPr>
            <w:tcW w:type="dxa" w:w="2894"/>
            <w:vAlign w:val="center"/>
            <w:tcMar>
              <w:top w:w="75" w:type="dxa"/>
              <w:bottom w:w="75" w:type="dxa"/>
              <w:left w:w="100" w:type="dxa"/>
              <w:right w:w="100" w:type="dxa"/>
            </w:tcMar>
          </w:tcPr>
          <w:p>
            <w:pPr>
              <w:keepNext w:val="0"/>
              <w:spacing w:after="20" w:before="20" w:line="240" w:lineRule="auto"/>
            </w:pPr>
            <w:r>
              <w:rPr>
                <w:b w:val="0"/>
                <w:sz w:val="21"/>
              </w:rPr>
              <w:t>71 / 1,213</w:t>
            </w:r>
          </w:p>
        </w:tc>
        <w:tc>
          <w:tcPr>
            <w:tcW w:type="dxa" w:w="3499"/>
            <w:vAlign w:val="center"/>
            <w:tcMar>
              <w:top w:w="75" w:type="dxa"/>
              <w:bottom w:w="75" w:type="dxa"/>
              <w:left w:w="100" w:type="dxa"/>
              <w:right w:w="100" w:type="dxa"/>
            </w:tcMar>
          </w:tcPr>
          <w:p>
            <w:pPr>
              <w:keepNext w:val="0"/>
              <w:spacing w:after="20" w:before="20" w:line="240" w:lineRule="auto"/>
            </w:pPr>
            <w:r>
              <w:rPr>
                <w:b w:val="0"/>
                <w:sz w:val="21"/>
              </w:rPr>
              <w:t>SF 1; SH 1; OTH 1</w:t>
            </w:r>
          </w:p>
        </w:tc>
      </w:tr>
    </w:tbl>
    <w:p>
      <w:pPr>
        <w:spacing w:after="20"/>
      </w:pPr>
    </w:p>
    <w:p>
      <w:r>
        <w:t>Most attempts to port 5888 were rejected or received no observed reply. The eight RSTR records contain all recorded bytes for that endpoint. A reset does not establish the outcome of the application or the success of an attack. TCP byte counters can also be affected by sequence accounting and capture limitations. The existing flow review identified capture gaps in high-volume records; these fields were absent from the aggregate LLM prompt (PRT840 project team 2026a; Zeek Project n.d.).</w:t>
      </w:r>
    </w:p>
    <w:p>
      <w:pPr>
        <w:pStyle w:val="Heading1"/>
        <w:pageBreakBefore/>
      </w:pPr>
      <w:r>
        <w:t>Traffic graph and time context</w:t>
      </w:r>
    </w:p>
    <w:p>
      <w:pPr>
        <w:keepNext/>
      </w:pPr>
      <w:r>
        <w:drawing>
          <wp:inline xmlns:a="http://schemas.openxmlformats.org/drawingml/2006/main" xmlns:pic="http://schemas.openxmlformats.org/drawingml/2006/picture">
            <wp:extent cx="6217920" cy="4080510"/>
            <wp:docPr id="1" name="Picture 1" descr="VM3 flow graph for 22 February 2023, showing the two endpoints, connection-start timeline and connection-state totals."/>
            <wp:cNvGraphicFramePr>
              <a:graphicFrameLocks noChangeAspect="1"/>
            </wp:cNvGraphicFramePr>
            <a:graphic>
              <a:graphicData uri="http://schemas.openxmlformats.org/drawingml/2006/picture">
                <pic:pic>
                  <pic:nvPicPr>
                    <pic:cNvPr id="0" name="remcosrat_forensic_graph(1).png"/>
                    <pic:cNvPicPr/>
                  </pic:nvPicPr>
                  <pic:blipFill>
                    <a:blip r:embed="rId9"/>
                    <a:stretch>
                      <a:fillRect/>
                    </a:stretch>
                  </pic:blipFill>
                  <pic:spPr>
                    <a:xfrm>
                      <a:off x="0" y="0"/>
                      <a:ext cx="6217920" cy="4080510"/>
                    </a:xfrm>
                    <a:prstGeom prst="rect"/>
                  </pic:spPr>
                </pic:pic>
              </a:graphicData>
            </a:graphic>
          </wp:inline>
        </w:drawing>
      </w:r>
    </w:p>
    <w:p>
      <w:pPr>
        <w:pStyle w:val="Caption"/>
      </w:pPr>
      <w:r>
        <w:t>Figure 1. Team-generated forensic graph from CTU-SME-11 VM3 using lightweight_forensic_graph.py, generated 15 September 2026. The timeline uses 15-minute bins of connection starts. It does not measure concurrent sessions or bytes transferred within each interval (PRT840 project team 2026a).</w:t>
      </w:r>
    </w:p>
    <w:p>
      <w:r>
        <w:t>The graph and Gerard's timeline show sustained connection starts early in the day, a sharp reduction around 06:30 UTC and a small increase near midnight. The HTTP records start between 06:31:40 and 06:33:59 UTC. This timing does not establish a causal transition from port 5888 to HTTP or prove an attacker objective. Long-running connections may continue after new connection counts fall (PRT840 project team 2026a; Wong 2026).</w:t>
      </w:r>
    </w:p>
    <w:p>
      <w:pPr>
        <w:pStyle w:val="Heading1"/>
      </w:pPr>
      <w:r>
        <w:t>External CTI enrichment</w:t>
      </w:r>
    </w:p>
    <w:p>
      <w:r>
        <w:t>Bayezid matched 66.63.168.35:5888 to a RemcosRAT configuration extraction displayed on the MalwareBazaar pages for an archive and its contained executable. The public pages were checked again on 28 September 2026: the archive contains the executable, and both pages display this endpoint. They describe one sample chain, not two independent sources. The CTI package contains 78,942 endpoint-matching flows from 21 to 24 February; 33,744 start on 22 February and match the main endpoint in Table 1. These are counts of network records matching one endpoint (abuse.ch n.d.a, n.d.b; Zahid 2026).</w:t>
      </w:r>
    </w:p>
    <w:p>
      <w:r>
        <w:t>MalwareBazaar lists the archive first seen at 09:02:10 UTC and the executable at 09:02:16 UTC on 21 February 2023. The CTI register was compiled on 16 September 2026. The sample dates do not show when its extracted configuration was publicly available. The match is therefore retrospective context: it does not prove that either sample ran on VM3, that the observed traffic carried commands or stolen content, or that a connection succeeded (abuse.ch n.d.a, n.d.b; Zahid 2026).</w:t>
      </w:r>
    </w:p>
    <w:p>
      <w:pPr>
        <w:pStyle w:val="Heading1"/>
        <w:pageBreakBefore/>
      </w:pPr>
      <w:r>
        <w:t>LLM procedure and baseline review</w:t>
      </w:r>
    </w:p>
    <w:p>
      <w:r>
        <w:t>The original two runs include a prompt, raw response and run record reporting llama3.1:8b through Ollama 0.34.2 with default generation settings. Run 2 is dated 20 September 2026 and reports no manual response edits. Run 1 supplies the 22 February aggregates and six ATT&amp;CK techniques, with no endpoint-specific CTI or example answers. Run 2 adds only retrospective_endpoint_cti; the earlier network fields and instructions are unchanged. It includes sample hashes and evidential caveats; lookup date and source URLs are retained in the CTI register. The cited repository commit preserves both prompts and raw responses (Duong 2026; Zahid 2026).</w:t>
      </w:r>
    </w:p>
    <w:p>
      <w:r>
        <w:t>Run 1 reproduces the two destinations and 33,630 rejected attempts, avoids naming a malware family, and sets human_validation_required to true. Table 2 records the errors that prevent accepting its ATT&amp;CK mapping and advice as analyst conclusions (Duong 2026).</w:t>
      </w:r>
    </w:p>
    <w:p>
      <w:pPr>
        <w:pStyle w:val="Caption"/>
        <w:keepNext/>
      </w:pPr>
      <w:r>
        <w:rPr>
          <w:color w:val="000000"/>
        </w:rPr>
        <w:t>Table 2. Initial LLM response issues and evidence assessment. Source: saved Run 1 response and team case outputs (Duong 2026; PRT840 project team 2026a).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97"/>
        <w:gridCol w:w="6595"/>
      </w:tblGrid>
      <w:tr>
        <w:trPr>
          <w:cantSplit/>
          <w:tblHeader/>
        </w:trPr>
        <w:tc>
          <w:tcPr>
            <w:tcW w:type="dxa" w:w="3197"/>
            <w:vAlign w:val="center"/>
            <w:tcMar>
              <w:top w:w="75" w:type="dxa"/>
              <w:bottom w:w="75" w:type="dxa"/>
              <w:left w:w="100" w:type="dxa"/>
              <w:right w:w="100" w:type="dxa"/>
            </w:tcMar>
            <w:shd w:fill="DCE6EF"/>
          </w:tcPr>
          <w:p>
            <w:pPr>
              <w:keepNext/>
              <w:spacing w:after="20" w:before="20" w:line="240" w:lineRule="auto"/>
            </w:pPr>
            <w:r>
              <w:rPr>
                <w:b w:val="0"/>
                <w:sz w:val="21"/>
              </w:rPr>
              <w:t>Finding in the raw response</w:t>
            </w:r>
          </w:p>
        </w:tc>
        <w:tc>
          <w:tcPr>
            <w:tcW w:type="dxa" w:w="6595"/>
            <w:vAlign w:val="center"/>
            <w:tcMar>
              <w:top w:w="75" w:type="dxa"/>
              <w:bottom w:w="75" w:type="dxa"/>
              <w:left w:w="100" w:type="dxa"/>
              <w:right w:w="100" w:type="dxa"/>
            </w:tcMar>
            <w:shd w:fill="DCE6EF"/>
          </w:tcPr>
          <w:p>
            <w:pPr>
              <w:keepNext/>
              <w:spacing w:after="20" w:before="20" w:line="240" w:lineRule="auto"/>
            </w:pPr>
            <w:r>
              <w:rPr>
                <w:b w:val="0"/>
                <w:sz w:val="21"/>
              </w:rPr>
              <w:t>Evidence assessment</w:t>
            </w:r>
          </w:p>
        </w:tc>
      </w:tr>
      <w:tr>
        <w:trPr>
          <w:cantSplit/>
        </w:trPr>
        <w:tc>
          <w:tcPr>
            <w:tcW w:type="dxa" w:w="3197"/>
            <w:vAlign w:val="center"/>
            <w:tcMar>
              <w:top w:w="75" w:type="dxa"/>
              <w:bottom w:w="75" w:type="dxa"/>
              <w:left w:w="100" w:type="dxa"/>
              <w:right w:w="100" w:type="dxa"/>
            </w:tcMar>
          </w:tcPr>
          <w:p>
            <w:pPr>
              <w:keepNext w:val="0"/>
              <w:spacing w:after="20" w:before="20" w:line="240" w:lineRule="auto"/>
            </w:pPr>
            <w:r>
              <w:rPr>
                <w:b w:val="0"/>
                <w:sz w:val="21"/>
              </w:rPr>
              <w:t>Eight RSTR connections described as successful; SH described as closed.</w:t>
            </w:r>
          </w:p>
        </w:tc>
        <w:tc>
          <w:tcPr>
            <w:tcW w:type="dxa" w:w="6595"/>
            <w:vAlign w:val="center"/>
            <w:tcMar>
              <w:top w:w="75" w:type="dxa"/>
              <w:bottom w:w="75" w:type="dxa"/>
              <w:left w:w="100" w:type="dxa"/>
              <w:right w:w="100" w:type="dxa"/>
            </w:tcMar>
          </w:tcPr>
          <w:p>
            <w:pPr>
              <w:keepNext w:val="0"/>
              <w:spacing w:after="20" w:before="20" w:line="240" w:lineRule="auto"/>
            </w:pPr>
            <w:r>
              <w:rPr>
                <w:b w:val="0"/>
                <w:sz w:val="21"/>
              </w:rPr>
              <w:t>RSTR records a reset from the responder. SH records SYN then FIN without an observed SYN-ACK. Neither wording establishes attack success. SF describes transport establishment and termination (Zeek Project n.d.).</w:t>
            </w:r>
          </w:p>
        </w:tc>
      </w:tr>
      <w:tr>
        <w:trPr>
          <w:cantSplit/>
        </w:trPr>
        <w:tc>
          <w:tcPr>
            <w:tcW w:type="dxa" w:w="3197"/>
            <w:vAlign w:val="center"/>
            <w:tcMar>
              <w:top w:w="75" w:type="dxa"/>
              <w:bottom w:w="75" w:type="dxa"/>
              <w:left w:w="100" w:type="dxa"/>
              <w:right w:w="100" w:type="dxa"/>
            </w:tcMar>
          </w:tcPr>
          <w:p>
            <w:pPr>
              <w:keepNext w:val="0"/>
              <w:spacing w:after="20" w:before="20" w:line="240" w:lineRule="auto"/>
            </w:pPr>
            <w:r>
              <w:rPr>
                <w:b w:val="0"/>
                <w:sz w:val="21"/>
              </w:rPr>
              <w:t>The port 80 connection used to suggest T1071.004 and T1046.</w:t>
            </w:r>
          </w:p>
        </w:tc>
        <w:tc>
          <w:tcPr>
            <w:tcW w:type="dxa" w:w="6595"/>
            <w:vAlign w:val="center"/>
            <w:tcMar>
              <w:top w:w="75" w:type="dxa"/>
              <w:bottom w:w="75" w:type="dxa"/>
              <w:left w:w="100" w:type="dxa"/>
              <w:right w:w="100" w:type="dxa"/>
            </w:tcMar>
          </w:tcPr>
          <w:p>
            <w:pPr>
              <w:keepNext w:val="0"/>
              <w:spacing w:after="20" w:before="20" w:line="240" w:lineRule="auto"/>
            </w:pPr>
            <w:r>
              <w:rPr>
                <w:b w:val="0"/>
                <w:sz w:val="21"/>
              </w:rPr>
              <w:t>No DNS C2 behaviour or service-discovery pattern is supplied. Both mappings are unsupported by this evidence. A port number alone is insufficient (Duong 2026; MITRE n.d.a, n.d.b).</w:t>
            </w:r>
          </w:p>
        </w:tc>
      </w:tr>
      <w:tr>
        <w:trPr>
          <w:cantSplit/>
        </w:trPr>
        <w:tc>
          <w:tcPr>
            <w:tcW w:type="dxa" w:w="3197"/>
            <w:vAlign w:val="center"/>
            <w:tcMar>
              <w:top w:w="75" w:type="dxa"/>
              <w:bottom w:w="75" w:type="dxa"/>
              <w:left w:w="100" w:type="dxa"/>
              <w:right w:w="100" w:type="dxa"/>
            </w:tcMar>
          </w:tcPr>
          <w:p>
            <w:pPr>
              <w:keepNext w:val="0"/>
              <w:spacing w:after="20" w:before="20" w:line="240" w:lineRule="auto"/>
            </w:pPr>
            <w:r>
              <w:rPr>
                <w:b w:val="0"/>
                <w:sz w:val="21"/>
              </w:rPr>
              <w:t>T1041 explanation overlooks the outbound byte evidence.</w:t>
            </w:r>
          </w:p>
        </w:tc>
        <w:tc>
          <w:tcPr>
            <w:tcW w:type="dxa" w:w="6595"/>
            <w:vAlign w:val="center"/>
            <w:tcMar>
              <w:top w:w="75" w:type="dxa"/>
              <w:bottom w:w="75" w:type="dxa"/>
              <w:left w:w="100" w:type="dxa"/>
              <w:right w:w="100" w:type="dxa"/>
            </w:tcMar>
          </w:tcPr>
          <w:p>
            <w:pPr>
              <w:keepNext w:val="0"/>
              <w:spacing w:after="20" w:before="20" w:line="240" w:lineRule="auto"/>
            </w:pPr>
            <w:r>
              <w:rPr>
                <w:b w:val="0"/>
                <w:sz w:val="21"/>
              </w:rPr>
              <w:t>The prompt records 190,672,103 outbound bytes to port 5888. C2 and exfiltration remain unproven, but the explanation must acknowledge those counters and their limits (Duong 2026; PRT840 project team 2026a; Zeek Project n.d.).</w:t>
            </w:r>
          </w:p>
        </w:tc>
      </w:tr>
      <w:tr>
        <w:trPr>
          <w:cantSplit/>
        </w:trPr>
        <w:tc>
          <w:tcPr>
            <w:tcW w:type="dxa" w:w="3197"/>
            <w:vAlign w:val="center"/>
            <w:tcMar>
              <w:top w:w="75" w:type="dxa"/>
              <w:bottom w:w="75" w:type="dxa"/>
              <w:left w:w="100" w:type="dxa"/>
              <w:right w:w="100" w:type="dxa"/>
            </w:tcMar>
          </w:tcPr>
          <w:p>
            <w:pPr>
              <w:keepNext w:val="0"/>
              <w:spacing w:after="20" w:before="20" w:line="240" w:lineRule="auto"/>
            </w:pPr>
            <w:r>
              <w:rPr>
                <w:b w:val="0"/>
                <w:sz w:val="21"/>
              </w:rPr>
              <w:t>Immediate blocking of 178.237.33.50:80 recommended.</w:t>
            </w:r>
          </w:p>
        </w:tc>
        <w:tc>
          <w:tcPr>
            <w:tcW w:type="dxa" w:w="6595"/>
            <w:vAlign w:val="center"/>
            <w:tcMar>
              <w:top w:w="75" w:type="dxa"/>
              <w:bottom w:w="75" w:type="dxa"/>
              <w:left w:w="100" w:type="dxa"/>
              <w:right w:w="100" w:type="dxa"/>
            </w:tcMar>
          </w:tcPr>
          <w:p>
            <w:pPr>
              <w:keepNext w:val="0"/>
              <w:spacing w:after="20" w:before="20" w:line="240" w:lineRule="auto"/>
            </w:pPr>
            <w:r>
              <w:rPr>
                <w:b w:val="0"/>
                <w:sz w:val="21"/>
              </w:rPr>
              <w:t>The prompt does not establish malicious use of that endpoint. Inspect the associated transaction and process before recommending containment on this evidence alone (Duong 2026).</w:t>
            </w:r>
          </w:p>
        </w:tc>
      </w:tr>
      <w:tr>
        <w:trPr>
          <w:cantSplit/>
        </w:trPr>
        <w:tc>
          <w:tcPr>
            <w:tcW w:type="dxa" w:w="3197"/>
            <w:vAlign w:val="center"/>
            <w:tcMar>
              <w:top w:w="75" w:type="dxa"/>
              <w:bottom w:w="75" w:type="dxa"/>
              <w:left w:w="100" w:type="dxa"/>
              <w:right w:w="100" w:type="dxa"/>
            </w:tcMar>
          </w:tcPr>
          <w:p>
            <w:pPr>
              <w:keepNext w:val="0"/>
              <w:spacing w:after="20" w:before="20" w:line="240" w:lineRule="auto"/>
            </w:pPr>
            <w:r>
              <w:rPr>
                <w:b w:val="0"/>
                <w:sz w:val="21"/>
              </w:rPr>
              <w:t>Possible next events centre on further HTTP or DNS activity.</w:t>
            </w:r>
          </w:p>
        </w:tc>
        <w:tc>
          <w:tcPr>
            <w:tcW w:type="dxa" w:w="6595"/>
            <w:vAlign w:val="center"/>
            <w:tcMar>
              <w:top w:w="75" w:type="dxa"/>
              <w:bottom w:w="75" w:type="dxa"/>
              <w:left w:w="100" w:type="dxa"/>
              <w:right w:w="100" w:type="dxa"/>
            </w:tcMar>
          </w:tcPr>
          <w:p>
            <w:pPr>
              <w:keepNext w:val="0"/>
              <w:spacing w:after="20" w:before="20" w:line="240" w:lineRule="auto"/>
            </w:pPr>
            <w:r>
              <w:rPr>
                <w:b w:val="0"/>
                <w:sz w:val="21"/>
              </w:rPr>
              <w:t>These are weakly grounded possibilities and do not establish an attack sequence. The response fails to prioritise the repeated port 5888 activity (Duong 2026).</w:t>
            </w:r>
          </w:p>
        </w:tc>
      </w:tr>
      <w:tr>
        <w:trPr>
          <w:cantSplit/>
        </w:trPr>
        <w:tc>
          <w:tcPr>
            <w:tcW w:type="dxa" w:w="3197"/>
            <w:vAlign w:val="center"/>
            <w:tcMar>
              <w:top w:w="75" w:type="dxa"/>
              <w:bottom w:w="75" w:type="dxa"/>
              <w:left w:w="100" w:type="dxa"/>
              <w:right w:w="100" w:type="dxa"/>
            </w:tcMar>
          </w:tcPr>
          <w:p>
            <w:pPr>
              <w:keepNext w:val="0"/>
              <w:spacing w:after="20" w:before="20" w:line="240" w:lineRule="auto"/>
            </w:pPr>
            <w:r>
              <w:rPr>
                <w:b w:val="0"/>
                <w:sz w:val="21"/>
              </w:rPr>
              <w:t>Valid JSON was requested, but the saved response does not parse.</w:t>
            </w:r>
          </w:p>
        </w:tc>
        <w:tc>
          <w:tcPr>
            <w:tcW w:type="dxa" w:w="6595"/>
            <w:vAlign w:val="center"/>
            <w:tcMar>
              <w:top w:w="75" w:type="dxa"/>
              <w:bottom w:w="75" w:type="dxa"/>
              <w:left w:w="100" w:type="dxa"/>
              <w:right w:w="100" w:type="dxa"/>
            </w:tcMar>
          </w:tcPr>
          <w:p>
            <w:pPr>
              <w:keepNext w:val="0"/>
              <w:spacing w:after="20" w:before="20" w:line="240" w:lineRule="auto"/>
            </w:pPr>
            <w:r>
              <w:rPr>
                <w:b w:val="0"/>
                <w:sz w:val="21"/>
              </w:rPr>
              <w:t>Even after removing prose and code fences, unescaped line breaks remain inside JSON strings. Record the saved-artifact failure and preserve the raw file; the files do not establish if wrapping was introduced during generation or capture (Duong 2026).</w:t>
            </w:r>
          </w:p>
        </w:tc>
      </w:tr>
    </w:tbl>
    <w:p>
      <w:pPr>
        <w:spacing w:after="20"/>
      </w:pPr>
    </w:p>
    <w:p>
      <w:r>
        <w:t>The lack of support for a technique in this prompt does not prove that the technique never occurred. The assessments in this report are AI-assisted comparisons with the evidence and reference definitions. Independent team review of the later outputs remains pending.</w:t>
      </w:r>
    </w:p>
    <w:p>
      <w:pPr>
        <w:pStyle w:val="Heading1"/>
        <w:pageBreakBefore/>
      </w:pPr>
      <w:r>
        <w:t>Comparison with endpoint enrichment</w:t>
      </w:r>
    </w:p>
    <w:p>
      <w:r>
        <w:t>The original prompts use identical network evidence, ATT&amp;CK references and instructions; Run 2 adds retrospective endpoint CTI. Both records report the same model, Ollama version and default settings. Table 3 compares the two saved responses. These runs are distinct from the later reference-selection experiment (Duong 2026).</w:t>
      </w:r>
    </w:p>
    <w:p>
      <w:pPr>
        <w:pStyle w:val="Caption"/>
        <w:keepNext/>
      </w:pPr>
      <w:r>
        <w:rPr>
          <w:color w:val="000000"/>
        </w:rPr>
        <w:t>Table 3. Original LLM responses with and without retrospective endpoint CTI. Source: saved prompts and responses (Duong 2026).</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1771"/>
        <w:gridCol w:w="3802"/>
        <w:gridCol w:w="4219"/>
      </w:tblGrid>
      <w:tr>
        <w:trPr>
          <w:cantSplit/>
          <w:tblHeader/>
        </w:trPr>
        <w:tc>
          <w:tcPr>
            <w:tcW w:type="dxa" w:w="1771"/>
            <w:vAlign w:val="center"/>
            <w:tcMar>
              <w:top w:w="75" w:type="dxa"/>
              <w:bottom w:w="75" w:type="dxa"/>
              <w:left w:w="100" w:type="dxa"/>
              <w:right w:w="100" w:type="dxa"/>
            </w:tcMar>
            <w:shd w:fill="DCE6EF"/>
          </w:tcPr>
          <w:p>
            <w:pPr>
              <w:keepNext/>
              <w:spacing w:after="20" w:before="20" w:line="240" w:lineRule="auto"/>
            </w:pPr>
            <w:r>
              <w:rPr>
                <w:b w:val="0"/>
                <w:sz w:val="21"/>
              </w:rPr>
              <w:t>Criterion</w:t>
            </w:r>
          </w:p>
        </w:tc>
        <w:tc>
          <w:tcPr>
            <w:tcW w:type="dxa" w:w="3802"/>
            <w:vAlign w:val="center"/>
            <w:tcMar>
              <w:top w:w="75" w:type="dxa"/>
              <w:bottom w:w="75" w:type="dxa"/>
              <w:left w:w="100" w:type="dxa"/>
              <w:right w:w="100" w:type="dxa"/>
            </w:tcMar>
            <w:shd w:fill="DCE6EF"/>
          </w:tcPr>
          <w:p>
            <w:pPr>
              <w:keepNext/>
              <w:spacing w:after="20" w:before="20" w:line="240" w:lineRule="auto"/>
            </w:pPr>
            <w:r>
              <w:rPr>
                <w:b w:val="0"/>
                <w:sz w:val="21"/>
              </w:rPr>
              <w:t>Run 1 without endpoint CTI</w:t>
            </w:r>
          </w:p>
        </w:tc>
        <w:tc>
          <w:tcPr>
            <w:tcW w:type="dxa" w:w="4219"/>
            <w:vAlign w:val="center"/>
            <w:tcMar>
              <w:top w:w="75" w:type="dxa"/>
              <w:bottom w:w="75" w:type="dxa"/>
              <w:left w:w="100" w:type="dxa"/>
              <w:right w:w="100" w:type="dxa"/>
            </w:tcMar>
            <w:shd w:fill="DCE6EF"/>
          </w:tcPr>
          <w:p>
            <w:pPr>
              <w:keepNext/>
              <w:spacing w:after="20" w:before="20" w:line="240" w:lineRule="auto"/>
            </w:pPr>
            <w:r>
              <w:rPr>
                <w:b w:val="0"/>
                <w:sz w:val="21"/>
              </w:rPr>
              <w:t>Run 2 with endpoint CTI</w:t>
            </w:r>
          </w:p>
        </w:tc>
      </w:tr>
      <w:tr>
        <w:trPr>
          <w:cantSplit/>
        </w:trPr>
        <w:tc>
          <w:tcPr>
            <w:tcW w:type="dxa" w:w="1771"/>
            <w:vAlign w:val="center"/>
            <w:tcMar>
              <w:top w:w="75" w:type="dxa"/>
              <w:bottom w:w="75" w:type="dxa"/>
              <w:left w:w="100" w:type="dxa"/>
              <w:right w:w="100" w:type="dxa"/>
            </w:tcMar>
          </w:tcPr>
          <w:p>
            <w:pPr>
              <w:keepNext w:val="0"/>
              <w:spacing w:after="20" w:before="20" w:line="240" w:lineRule="auto"/>
            </w:pPr>
            <w:r>
              <w:rPr>
                <w:b w:val="0"/>
                <w:sz w:val="21"/>
              </w:rPr>
              <w:t>Priority and action</w:t>
            </w:r>
          </w:p>
        </w:tc>
        <w:tc>
          <w:tcPr>
            <w:tcW w:type="dxa" w:w="3802"/>
            <w:vAlign w:val="center"/>
            <w:tcMar>
              <w:top w:w="75" w:type="dxa"/>
              <w:bottom w:w="75" w:type="dxa"/>
              <w:left w:w="100" w:type="dxa"/>
              <w:right w:w="100" w:type="dxa"/>
            </w:tcMar>
          </w:tcPr>
          <w:p>
            <w:pPr>
              <w:keepNext w:val="0"/>
              <w:spacing w:after="20" w:before="20" w:line="240" w:lineRule="auto"/>
            </w:pPr>
            <w:r>
              <w:rPr>
                <w:b w:val="0"/>
                <w:sz w:val="21"/>
              </w:rPr>
              <w:t>Blocks the small HTTP endpoint without sufficient justification.</w:t>
            </w:r>
          </w:p>
        </w:tc>
        <w:tc>
          <w:tcPr>
            <w:tcW w:type="dxa" w:w="4219"/>
            <w:vAlign w:val="center"/>
            <w:tcMar>
              <w:top w:w="75" w:type="dxa"/>
              <w:bottom w:w="75" w:type="dxa"/>
              <w:left w:w="100" w:type="dxa"/>
              <w:right w:w="100" w:type="dxa"/>
            </w:tcMar>
          </w:tcPr>
          <w:p>
            <w:pPr>
              <w:keepNext w:val="0"/>
              <w:spacing w:after="20" w:before="20" w:line="240" w:lineRule="auto"/>
            </w:pPr>
            <w:r>
              <w:rPr>
                <w:b w:val="0"/>
                <w:sz w:val="21"/>
              </w:rPr>
              <w:t>Targets the CTI-matched endpoint, but blocking remains unconditional.</w:t>
            </w:r>
          </w:p>
        </w:tc>
      </w:tr>
      <w:tr>
        <w:trPr>
          <w:cantSplit/>
        </w:trPr>
        <w:tc>
          <w:tcPr>
            <w:tcW w:type="dxa" w:w="1771"/>
            <w:vAlign w:val="center"/>
            <w:tcMar>
              <w:top w:w="75" w:type="dxa"/>
              <w:bottom w:w="75" w:type="dxa"/>
              <w:left w:w="100" w:type="dxa"/>
              <w:right w:w="100" w:type="dxa"/>
            </w:tcMar>
          </w:tcPr>
          <w:p>
            <w:pPr>
              <w:keepNext w:val="0"/>
              <w:spacing w:after="20" w:before="20" w:line="240" w:lineRule="auto"/>
            </w:pPr>
            <w:r>
              <w:rPr>
                <w:b w:val="0"/>
                <w:sz w:val="21"/>
              </w:rPr>
              <w:t>States and bytes</w:t>
            </w:r>
          </w:p>
        </w:tc>
        <w:tc>
          <w:tcPr>
            <w:tcW w:type="dxa" w:w="3802"/>
            <w:vAlign w:val="center"/>
            <w:tcMar>
              <w:top w:w="75" w:type="dxa"/>
              <w:bottom w:w="75" w:type="dxa"/>
              <w:left w:w="100" w:type="dxa"/>
              <w:right w:w="100" w:type="dxa"/>
            </w:tcMar>
          </w:tcPr>
          <w:p>
            <w:pPr>
              <w:keepNext w:val="0"/>
              <w:spacing w:after="20" w:before="20" w:line="240" w:lineRule="auto"/>
            </w:pPr>
            <w:r>
              <w:rPr>
                <w:b w:val="0"/>
                <w:sz w:val="21"/>
              </w:rPr>
              <w:t>Misinterprets RSTR and SH; overlooks major outbound counters.</w:t>
            </w:r>
          </w:p>
        </w:tc>
        <w:tc>
          <w:tcPr>
            <w:tcW w:type="dxa" w:w="4219"/>
            <w:vAlign w:val="center"/>
            <w:tcMar>
              <w:top w:w="75" w:type="dxa"/>
              <w:bottom w:w="75" w:type="dxa"/>
              <w:left w:w="100" w:type="dxa"/>
              <w:right w:w="100" w:type="dxa"/>
            </w:tcMar>
          </w:tcPr>
          <w:p>
            <w:pPr>
              <w:keepNext w:val="0"/>
              <w:spacing w:after="20" w:before="20" w:line="240" w:lineRule="auto"/>
            </w:pPr>
            <w:r>
              <w:rPr>
                <w:b w:val="0"/>
                <w:sz w:val="21"/>
              </w:rPr>
              <w:t>Lists state counts without the earlier glosses; still omits byte evidence.</w:t>
            </w:r>
          </w:p>
        </w:tc>
      </w:tr>
      <w:tr>
        <w:trPr>
          <w:cantSplit/>
        </w:trPr>
        <w:tc>
          <w:tcPr>
            <w:tcW w:type="dxa" w:w="1771"/>
            <w:vAlign w:val="center"/>
            <w:tcMar>
              <w:top w:w="75" w:type="dxa"/>
              <w:bottom w:w="75" w:type="dxa"/>
              <w:left w:w="100" w:type="dxa"/>
              <w:right w:w="100" w:type="dxa"/>
            </w:tcMar>
          </w:tcPr>
          <w:p>
            <w:pPr>
              <w:keepNext w:val="0"/>
              <w:spacing w:after="20" w:before="20" w:line="240" w:lineRule="auto"/>
            </w:pPr>
            <w:r>
              <w:rPr>
                <w:b w:val="0"/>
                <w:sz w:val="21"/>
              </w:rPr>
              <w:t>ATT&amp;CK grounding</w:t>
            </w:r>
          </w:p>
        </w:tc>
        <w:tc>
          <w:tcPr>
            <w:tcW w:type="dxa" w:w="3802"/>
            <w:vAlign w:val="center"/>
            <w:tcMar>
              <w:top w:w="75" w:type="dxa"/>
              <w:bottom w:w="75" w:type="dxa"/>
              <w:left w:w="100" w:type="dxa"/>
              <w:right w:w="100" w:type="dxa"/>
            </w:tcMar>
          </w:tcPr>
          <w:p>
            <w:pPr>
              <w:keepNext w:val="0"/>
              <w:spacing w:after="20" w:before="20" w:line="240" w:lineRule="auto"/>
            </w:pPr>
            <w:r>
              <w:rPr>
                <w:b w:val="0"/>
                <w:sz w:val="21"/>
              </w:rPr>
              <w:t>DNS C2 and discovery are possible at low confidence.</w:t>
            </w:r>
          </w:p>
        </w:tc>
        <w:tc>
          <w:tcPr>
            <w:tcW w:type="dxa" w:w="4219"/>
            <w:vAlign w:val="center"/>
            <w:tcMar>
              <w:top w:w="75" w:type="dxa"/>
              <w:bottom w:w="75" w:type="dxa"/>
              <w:left w:w="100" w:type="dxa"/>
              <w:right w:w="100" w:type="dxa"/>
            </w:tcMar>
          </w:tcPr>
          <w:p>
            <w:pPr>
              <w:keepNext w:val="0"/>
              <w:spacing w:after="20" w:before="20" w:line="240" w:lineRule="auto"/>
            </w:pPr>
            <w:r>
              <w:rPr>
                <w:b w:val="0"/>
                <w:sz w:val="21"/>
              </w:rPr>
              <w:t>Web and DNS C2 are possible at medium confidence; definitions are copied as evidence.</w:t>
            </w:r>
          </w:p>
        </w:tc>
      </w:tr>
      <w:tr>
        <w:trPr>
          <w:cantSplit/>
        </w:trPr>
        <w:tc>
          <w:tcPr>
            <w:tcW w:type="dxa" w:w="1771"/>
            <w:vAlign w:val="center"/>
            <w:tcMar>
              <w:top w:w="75" w:type="dxa"/>
              <w:bottom w:w="75" w:type="dxa"/>
              <w:left w:w="100" w:type="dxa"/>
              <w:right w:w="100" w:type="dxa"/>
            </w:tcMar>
          </w:tcPr>
          <w:p>
            <w:pPr>
              <w:keepNext w:val="0"/>
              <w:spacing w:after="20" w:before="20" w:line="240" w:lineRule="auto"/>
            </w:pPr>
            <w:r>
              <w:rPr>
                <w:b w:val="0"/>
                <w:sz w:val="21"/>
              </w:rPr>
              <w:t>Sequence and uncertainty</w:t>
            </w:r>
          </w:p>
        </w:tc>
        <w:tc>
          <w:tcPr>
            <w:tcW w:type="dxa" w:w="3802"/>
            <w:vAlign w:val="center"/>
            <w:tcMar>
              <w:top w:w="75" w:type="dxa"/>
              <w:bottom w:w="75" w:type="dxa"/>
              <w:left w:w="100" w:type="dxa"/>
              <w:right w:w="100" w:type="dxa"/>
            </w:tcMar>
          </w:tcPr>
          <w:p>
            <w:pPr>
              <w:keepNext w:val="0"/>
              <w:spacing w:after="20" w:before="20" w:line="240" w:lineRule="auto"/>
            </w:pPr>
            <w:r>
              <w:rPr>
                <w:b w:val="0"/>
                <w:sz w:val="21"/>
              </w:rPr>
              <w:t>Weak HTTP and DNS possibilities; human review retained.</w:t>
            </w:r>
          </w:p>
        </w:tc>
        <w:tc>
          <w:tcPr>
            <w:tcW w:type="dxa" w:w="4219"/>
            <w:vAlign w:val="center"/>
            <w:tcMar>
              <w:top w:w="75" w:type="dxa"/>
              <w:bottom w:w="75" w:type="dxa"/>
              <w:left w:w="100" w:type="dxa"/>
              <w:right w:w="100" w:type="dxa"/>
            </w:tcMar>
          </w:tcPr>
          <w:p>
            <w:pPr>
              <w:keepNext w:val="0"/>
              <w:spacing w:after="20" w:before="20" w:line="240" w:lineRule="auto"/>
            </w:pPr>
            <w:r>
              <w:rPr>
                <w:b w:val="0"/>
                <w:sz w:val="21"/>
              </w:rPr>
              <w:t>Generic monitoring; presumes an observed C2 channel. Human review retained.</w:t>
            </w:r>
          </w:p>
        </w:tc>
      </w:tr>
      <w:tr>
        <w:trPr>
          <w:cantSplit/>
        </w:trPr>
        <w:tc>
          <w:tcPr>
            <w:tcW w:type="dxa" w:w="1771"/>
            <w:vAlign w:val="center"/>
            <w:tcMar>
              <w:top w:w="75" w:type="dxa"/>
              <w:bottom w:w="75" w:type="dxa"/>
              <w:left w:w="100" w:type="dxa"/>
              <w:right w:w="100" w:type="dxa"/>
            </w:tcMar>
          </w:tcPr>
          <w:p>
            <w:pPr>
              <w:keepNext w:val="0"/>
              <w:spacing w:after="20" w:before="20" w:line="240" w:lineRule="auto"/>
            </w:pPr>
            <w:r>
              <w:rPr>
                <w:b w:val="0"/>
                <w:sz w:val="21"/>
              </w:rPr>
              <w:t>Saved output format</w:t>
            </w:r>
          </w:p>
        </w:tc>
        <w:tc>
          <w:tcPr>
            <w:tcW w:type="dxa" w:w="3802"/>
            <w:vAlign w:val="center"/>
            <w:tcMar>
              <w:top w:w="75" w:type="dxa"/>
              <w:bottom w:w="75" w:type="dxa"/>
              <w:left w:w="100" w:type="dxa"/>
              <w:right w:w="100" w:type="dxa"/>
            </w:tcMar>
          </w:tcPr>
          <w:p>
            <w:pPr>
              <w:keepNext w:val="0"/>
              <w:spacing w:after="20" w:before="20" w:line="240" w:lineRule="auto"/>
            </w:pPr>
            <w:r>
              <w:rPr>
                <w:b w:val="0"/>
                <w:sz w:val="21"/>
              </w:rPr>
              <w:t>Extracted JSON fails parsing.</w:t>
            </w:r>
          </w:p>
        </w:tc>
        <w:tc>
          <w:tcPr>
            <w:tcW w:type="dxa" w:w="4219"/>
            <w:vAlign w:val="center"/>
            <w:tcMar>
              <w:top w:w="75" w:type="dxa"/>
              <w:bottom w:w="75" w:type="dxa"/>
              <w:left w:w="100" w:type="dxa"/>
              <w:right w:w="100" w:type="dxa"/>
            </w:tcMar>
          </w:tcPr>
          <w:p>
            <w:pPr>
              <w:keepNext w:val="0"/>
              <w:spacing w:after="20" w:before="20" w:line="240" w:lineRule="auto"/>
            </w:pPr>
            <w:r>
              <w:rPr>
                <w:b w:val="0"/>
                <w:sz w:val="21"/>
              </w:rPr>
              <w:t>Extracted JSON also fails parsing.</w:t>
            </w:r>
          </w:p>
        </w:tc>
      </w:tr>
    </w:tbl>
    <w:p>
      <w:pPr>
        <w:spacing w:after="20"/>
      </w:pPr>
    </w:p>
    <w:p>
      <w:r>
        <w:t>Run 2 copies evidence requirements as supporting_evidence. Neither web C2 nor DNS C2 is established, and its question about an observed C2 channel overstates the association. Its unencrypted-channel monitoring suggestion is not grounded in the recorded ssl service. No defensible event sequence is produced (Duong 2026; PRT840 project team 2026a).</w:t>
      </w:r>
    </w:p>
    <w:p>
      <w:r>
        <w:t>This qualitative comparison does not establish improved detection or forecasting. The run records document matching defaults but omit explicit parameter values, random seeds, model digests and the response-capture method. Run 1 has no recorded run date. These limits and model randomness prevent attributing every output difference to CTI. Preserve both raw outputs (Duong 2026).</w:t>
      </w:r>
    </w:p>
    <w:p>
      <w:pPr>
        <w:pStyle w:val="Heading1"/>
      </w:pPr>
      <w:r>
        <w:t>Hourly sequence and model evaluation</w:t>
      </w:r>
    </w:p>
    <w:p>
      <w:r>
        <w:t>Gerard's 96 fifteen-minute bins cover 22 February UTC and total 33,747 connection starts. Hourly totals range from 5,113 to 5,182 during 00:00 to 05:59, followed by 2,737 in the 06:00 hour, 3 at 07:00, 4 at 08:00, zero during 09:00 to 22:59 and 104 at 23:00. Each hour sums four bins from one flow-count column; the duplicate column is excluded (Wong 2026).</w:t>
      </w:r>
    </w:p>
    <w:p>
      <w:r>
        <w:t>These counts support changing connection-attempt frequency, but do not identify attacker motivation or a verified attack chain. They match Figure 1's total and pattern; this agreement is not independent corroboration. The model review below addresses Mukhtar's requested audit (PRT840 project team 2026b; Wong 2026).</w:t>
      </w:r>
    </w:p>
    <w:p>
      <w:pPr>
        <w:pStyle w:val="Heading1"/>
        <w:pageBreakBefore/>
        <w:widowControl/>
      </w:pPr>
      <w:commentRangeStart w:id="0"/>
      <w:r>
        <w:t>Later LLM experiments</w:t>
      </w:r>
      <w:commentRangeEnd w:id="0"/>
      <w:r>
        <w:rPr>
          <w:rStyle w:val="CommentReference"/>
        </w:rPr>
        <w:commentReference w:id="0"/>
      </w:r>
    </w:p>
    <w:p>
      <w:pPr>
        <w:widowControl/>
      </w:pPr>
      <w:r>
        <w:t>Three further development versions ran on 27 September 2026 with the same llama3.1:8b model digest and Ollama 0.34.4. They produced ten saved responses: six for version 1, two for version 2 and two for version 3. All used the same supplied network aggregates and historical CTI. The prompts and validation records document execution; they do not establish correct ATT&amp;CK mapping or playbook quality (PRT840 project team 2026d, 2026e, 2026f).</w:t>
      </w:r>
    </w:p>
    <w:p>
      <w:pPr>
        <w:widowControl/>
      </w:pPr>
      <w:r>
        <w:t>The reference corpus contains 697 active Enterprise ATT&amp;CK techniques and sub-techniques from version 19.2. The source and normalised cache are pinned by commit and checksum. This 2026 reference is used to interpret the 2023 traffic retrospectively. Prompts supply instructions, evidence and reference definitions without a worked example, so they remain zero-shot (MITRE 2026; PRT840 project team 2026d).</w:t>
      </w:r>
    </w:p>
    <w:p>
      <w:pPr>
        <w:widowControl/>
      </w:pPr>
      <w:r>
        <w:t>The experiments retained temperature 0, a 16,384-token context, top-k 40, top-p 0.9 and repeat penalty 1.0. Version 1 used paired seeds 42, 43 and 44; versions 2 and 3 used seed 42. The output allowances and tasks changed, as Table 4 shows. The experiments therefore cannot be combined into one controlled accuracy comparison.</w:t>
      </w:r>
    </w:p>
    <w:p>
      <w:pPr>
        <w:pStyle w:val="Caption"/>
        <w:widowControl/>
      </w:pPr>
      <w:r>
        <w:t>Table 4. Later LLM executions and automated checks. Sources: saved runs and validation records (PRT840 project team 2026d, 2026e, 2026f).</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864"/>
        <w:gridCol w:w="1080"/>
        <w:gridCol w:w="2952"/>
        <w:gridCol w:w="1296"/>
        <w:gridCol w:w="3600"/>
      </w:tblGrid>
      <w:tr>
        <w:trPr>
          <w:cantSplit/>
          <w:tblHeader/>
        </w:trPr>
        <w:tc>
          <w:tcPr>
            <w:tcW w:type="dxa" w:w="864"/>
            <w:vAlign w:val="center"/>
            <w:tcMar>
              <w:top w:w="90" w:type="dxa"/>
              <w:bottom w:w="90" w:type="dxa"/>
              <w:left w:w="110" w:type="dxa"/>
              <w:right w:w="110" w:type="dxa"/>
            </w:tcMar>
            <w:shd w:fill="DDE7EF"/>
          </w:tcPr>
          <w:p>
            <w:pPr>
              <w:keepNext/>
              <w:spacing w:before="0" w:after="0" w:line="252" w:lineRule="auto"/>
              <w:jc w:val="center"/>
            </w:pPr>
            <w:r>
              <w:rPr>
                <w:rFonts w:ascii="Calibri" w:hAnsi="Calibri"/>
                <w:b w:val="0"/>
                <w:color w:val="000000"/>
                <w:sz w:val="21"/>
              </w:rPr>
              <w:t>Ver.</w:t>
            </w:r>
          </w:p>
        </w:tc>
        <w:tc>
          <w:tcPr>
            <w:tcW w:type="dxa" w:w="1080"/>
            <w:vAlign w:val="center"/>
            <w:tcMar>
              <w:top w:w="90" w:type="dxa"/>
              <w:bottom w:w="90" w:type="dxa"/>
              <w:left w:w="110" w:type="dxa"/>
              <w:right w:w="110" w:type="dxa"/>
            </w:tcMar>
            <w:shd w:fill="DDE7EF"/>
          </w:tcPr>
          <w:p>
            <w:pPr>
              <w:keepNext/>
              <w:spacing w:before="0" w:after="0" w:line="252" w:lineRule="auto"/>
              <w:jc w:val="center"/>
            </w:pPr>
            <w:r>
              <w:rPr>
                <w:rFonts w:ascii="Calibri" w:hAnsi="Calibri"/>
                <w:b w:val="0"/>
                <w:color w:val="000000"/>
                <w:sz w:val="21"/>
              </w:rPr>
              <w:t>Runs</w:t>
            </w:r>
          </w:p>
        </w:tc>
        <w:tc>
          <w:tcPr>
            <w:tcW w:type="dxa" w:w="2952"/>
            <w:vAlign w:val="center"/>
            <w:tcMar>
              <w:top w:w="90" w:type="dxa"/>
              <w:bottom w:w="90" w:type="dxa"/>
              <w:left w:w="110" w:type="dxa"/>
              <w:right w:w="110" w:type="dxa"/>
            </w:tcMar>
            <w:shd w:fill="DDE7EF"/>
          </w:tcPr>
          <w:p>
            <w:pPr>
              <w:keepNext/>
              <w:spacing w:before="0" w:after="0" w:line="252" w:lineRule="auto"/>
              <w:jc w:val="left"/>
            </w:pPr>
            <w:r>
              <w:rPr>
                <w:rFonts w:ascii="Calibri" w:hAnsi="Calibri"/>
                <w:b w:val="0"/>
                <w:color w:val="000000"/>
                <w:sz w:val="21"/>
              </w:rPr>
              <w:t>Task</w:t>
            </w:r>
          </w:p>
        </w:tc>
        <w:tc>
          <w:tcPr>
            <w:tcW w:type="dxa" w:w="1296"/>
            <w:vAlign w:val="center"/>
            <w:tcMar>
              <w:top w:w="90" w:type="dxa"/>
              <w:bottom w:w="90" w:type="dxa"/>
              <w:left w:w="110" w:type="dxa"/>
              <w:right w:w="110" w:type="dxa"/>
            </w:tcMar>
            <w:shd w:fill="DDE7EF"/>
          </w:tcPr>
          <w:p>
            <w:pPr>
              <w:keepNext/>
              <w:spacing w:before="0" w:after="0" w:line="252" w:lineRule="auto"/>
              <w:jc w:val="center"/>
            </w:pPr>
            <w:r>
              <w:rPr>
                <w:rFonts w:ascii="Calibri" w:hAnsi="Calibri"/>
                <w:b w:val="0"/>
                <w:color w:val="000000"/>
                <w:sz w:val="21"/>
              </w:rPr>
              <w:t>Output limit</w:t>
            </w:r>
          </w:p>
        </w:tc>
        <w:tc>
          <w:tcPr>
            <w:tcW w:type="dxa" w:w="3600"/>
            <w:vAlign w:val="center"/>
            <w:tcMar>
              <w:top w:w="90" w:type="dxa"/>
              <w:bottom w:w="90" w:type="dxa"/>
              <w:left w:w="110" w:type="dxa"/>
              <w:right w:w="110" w:type="dxa"/>
            </w:tcMar>
            <w:shd w:fill="DDE7EF"/>
          </w:tcPr>
          <w:p>
            <w:pPr>
              <w:keepNext/>
              <w:spacing w:before="0" w:after="0" w:line="252" w:lineRule="auto"/>
              <w:jc w:val="left"/>
            </w:pPr>
            <w:r>
              <w:rPr>
                <w:rFonts w:ascii="Calibri" w:hAnsi="Calibri"/>
                <w:b w:val="0"/>
                <w:color w:val="000000"/>
                <w:sz w:val="21"/>
              </w:rPr>
              <w:t>Automated result</w:t>
            </w:r>
          </w:p>
        </w:tc>
      </w:tr>
      <w:tr>
        <w:trPr>
          <w:cantSplit/>
        </w:trPr>
        <w:tc>
          <w:tcPr>
            <w:tcW w:type="dxa" w:w="864"/>
            <w:vAlign w:val="center"/>
            <w:tcMar>
              <w:top w:w="90" w:type="dxa"/>
              <w:bottom w:w="90" w:type="dxa"/>
              <w:left w:w="110" w:type="dxa"/>
              <w:right w:w="110" w:type="dxa"/>
            </w:tcMar>
          </w:tcPr>
          <w:p>
            <w:pPr>
              <w:keepNext w:val="0"/>
              <w:spacing w:before="0" w:after="0" w:line="252" w:lineRule="auto"/>
              <w:jc w:val="center"/>
            </w:pPr>
            <w:r>
              <w:rPr>
                <w:rFonts w:ascii="Calibri" w:hAnsi="Calibri"/>
                <w:b w:val="0"/>
                <w:color w:val="000000"/>
                <w:sz w:val="21"/>
              </w:rPr>
              <w:t>1</w:t>
            </w:r>
          </w:p>
        </w:tc>
        <w:tc>
          <w:tcPr>
            <w:tcW w:type="dxa" w:w="1080"/>
            <w:vAlign w:val="center"/>
            <w:tcMar>
              <w:top w:w="90" w:type="dxa"/>
              <w:bottom w:w="90" w:type="dxa"/>
              <w:left w:w="110" w:type="dxa"/>
              <w:right w:w="110" w:type="dxa"/>
            </w:tcMar>
          </w:tcPr>
          <w:p>
            <w:pPr>
              <w:keepNext w:val="0"/>
              <w:spacing w:before="0" w:after="0" w:line="252" w:lineRule="auto"/>
              <w:jc w:val="center"/>
            </w:pPr>
            <w:r>
              <w:rPr>
                <w:rFonts w:ascii="Calibri" w:hAnsi="Calibri"/>
                <w:b w:val="0"/>
                <w:color w:val="000000"/>
                <w:sz w:val="21"/>
              </w:rPr>
              <w:t>6</w:t>
            </w:r>
          </w:p>
        </w:tc>
        <w:tc>
          <w:tcPr>
            <w:tcW w:type="dxa" w:w="2952"/>
            <w:vAlign w:val="center"/>
            <w:tcMar>
              <w:top w:w="90" w:type="dxa"/>
              <w:bottom w:w="90" w:type="dxa"/>
              <w:left w:w="110" w:type="dxa"/>
              <w:right w:w="110" w:type="dxa"/>
            </w:tcMar>
          </w:tcPr>
          <w:p>
            <w:pPr>
              <w:keepNext w:val="0"/>
              <w:spacing w:before="0" w:after="0" w:line="252" w:lineRule="auto"/>
              <w:jc w:val="left"/>
            </w:pPr>
            <w:r>
              <w:rPr>
                <w:rFonts w:ascii="Calibri" w:hAnsi="Calibri"/>
                <w:b w:val="0"/>
                <w:color w:val="000000"/>
                <w:sz w:val="21"/>
              </w:rPr>
              <w:t>Fixed versus retrieved references</w:t>
            </w:r>
          </w:p>
        </w:tc>
        <w:tc>
          <w:tcPr>
            <w:tcW w:type="dxa" w:w="1296"/>
            <w:vAlign w:val="center"/>
            <w:tcMar>
              <w:top w:w="90" w:type="dxa"/>
              <w:bottom w:w="90" w:type="dxa"/>
              <w:left w:w="110" w:type="dxa"/>
              <w:right w:w="110" w:type="dxa"/>
            </w:tcMar>
          </w:tcPr>
          <w:p>
            <w:pPr>
              <w:keepNext w:val="0"/>
              <w:spacing w:before="0" w:after="0" w:line="252" w:lineRule="auto"/>
              <w:jc w:val="center"/>
            </w:pPr>
            <w:r>
              <w:rPr>
                <w:rFonts w:ascii="Calibri" w:hAnsi="Calibri"/>
                <w:b w:val="0"/>
                <w:color w:val="000000"/>
                <w:sz w:val="21"/>
              </w:rPr>
              <w:t>3,072 tokens</w:t>
            </w:r>
          </w:p>
        </w:tc>
        <w:tc>
          <w:tcPr>
            <w:tcW w:type="dxa" w:w="3600"/>
            <w:vAlign w:val="center"/>
            <w:tcMar>
              <w:top w:w="90" w:type="dxa"/>
              <w:bottom w:w="90" w:type="dxa"/>
              <w:left w:w="110" w:type="dxa"/>
              <w:right w:w="110" w:type="dxa"/>
            </w:tcMar>
          </w:tcPr>
          <w:p>
            <w:pPr>
              <w:keepNext w:val="0"/>
              <w:spacing w:before="0" w:after="0" w:line="252" w:lineRule="auto"/>
              <w:jc w:val="left"/>
            </w:pPr>
            <w:r>
              <w:rPr>
                <w:rFonts w:ascii="Calibri" w:hAnsi="Calibri"/>
                <w:b w:val="0"/>
                <w:color w:val="000000"/>
                <w:sz w:val="21"/>
              </w:rPr>
              <w:t>6/6 passed format and reference checks</w:t>
            </w:r>
          </w:p>
        </w:tc>
      </w:tr>
      <w:tr>
        <w:trPr>
          <w:cantSplit/>
        </w:trPr>
        <w:tc>
          <w:tcPr>
            <w:tcW w:type="dxa" w:w="864"/>
            <w:vAlign w:val="center"/>
            <w:tcMar>
              <w:top w:w="90" w:type="dxa"/>
              <w:bottom w:w="90" w:type="dxa"/>
              <w:left w:w="110" w:type="dxa"/>
              <w:right w:w="110" w:type="dxa"/>
            </w:tcMar>
          </w:tcPr>
          <w:p>
            <w:pPr>
              <w:keepNext w:val="0"/>
              <w:spacing w:before="0" w:after="0" w:line="252" w:lineRule="auto"/>
              <w:jc w:val="center"/>
            </w:pPr>
            <w:r>
              <w:rPr>
                <w:rFonts w:ascii="Calibri" w:hAnsi="Calibri"/>
                <w:b w:val="0"/>
                <w:color w:val="000000"/>
                <w:sz w:val="21"/>
              </w:rPr>
              <w:t>2</w:t>
            </w:r>
          </w:p>
        </w:tc>
        <w:tc>
          <w:tcPr>
            <w:tcW w:type="dxa" w:w="1080"/>
            <w:vAlign w:val="center"/>
            <w:tcMar>
              <w:top w:w="90" w:type="dxa"/>
              <w:bottom w:w="90" w:type="dxa"/>
              <w:left w:w="110" w:type="dxa"/>
              <w:right w:w="110" w:type="dxa"/>
            </w:tcMar>
          </w:tcPr>
          <w:p>
            <w:pPr>
              <w:keepNext w:val="0"/>
              <w:spacing w:before="0" w:after="0" w:line="252" w:lineRule="auto"/>
              <w:jc w:val="center"/>
            </w:pPr>
            <w:r>
              <w:rPr>
                <w:rFonts w:ascii="Calibri" w:hAnsi="Calibri"/>
                <w:b w:val="0"/>
                <w:color w:val="000000"/>
                <w:sz w:val="21"/>
              </w:rPr>
              <w:t>2</w:t>
            </w:r>
          </w:p>
        </w:tc>
        <w:tc>
          <w:tcPr>
            <w:tcW w:type="dxa" w:w="2952"/>
            <w:vAlign w:val="center"/>
            <w:tcMar>
              <w:top w:w="90" w:type="dxa"/>
              <w:bottom w:w="90" w:type="dxa"/>
              <w:left w:w="110" w:type="dxa"/>
              <w:right w:w="110" w:type="dxa"/>
            </w:tcMar>
          </w:tcPr>
          <w:p>
            <w:pPr>
              <w:keepNext w:val="0"/>
              <w:spacing w:before="0" w:after="0" w:line="252" w:lineRule="auto"/>
              <w:jc w:val="left"/>
            </w:pPr>
            <w:r>
              <w:rPr>
                <w:rFonts w:ascii="Calibri" w:hAnsi="Calibri"/>
                <w:b w:val="0"/>
                <w:color w:val="000000"/>
                <w:sz w:val="21"/>
              </w:rPr>
              <w:t>Revised retrieval and evidence requirements</w:t>
            </w:r>
          </w:p>
        </w:tc>
        <w:tc>
          <w:tcPr>
            <w:tcW w:type="dxa" w:w="1296"/>
            <w:vAlign w:val="center"/>
            <w:tcMar>
              <w:top w:w="90" w:type="dxa"/>
              <w:bottom w:w="90" w:type="dxa"/>
              <w:left w:w="110" w:type="dxa"/>
              <w:right w:w="110" w:type="dxa"/>
            </w:tcMar>
          </w:tcPr>
          <w:p>
            <w:pPr>
              <w:keepNext w:val="0"/>
              <w:spacing w:before="0" w:after="0" w:line="252" w:lineRule="auto"/>
              <w:jc w:val="center"/>
            </w:pPr>
            <w:r>
              <w:rPr>
                <w:rFonts w:ascii="Calibri" w:hAnsi="Calibri"/>
                <w:b w:val="0"/>
                <w:color w:val="000000"/>
                <w:sz w:val="21"/>
              </w:rPr>
              <w:t>4,096 tokens</w:t>
            </w:r>
          </w:p>
        </w:tc>
        <w:tc>
          <w:tcPr>
            <w:tcW w:type="dxa" w:w="3600"/>
            <w:vAlign w:val="center"/>
            <w:tcMar>
              <w:top w:w="90" w:type="dxa"/>
              <w:bottom w:w="90" w:type="dxa"/>
              <w:left w:w="110" w:type="dxa"/>
              <w:right w:w="110" w:type="dxa"/>
            </w:tcMar>
          </w:tcPr>
          <w:p>
            <w:pPr>
              <w:keepNext w:val="0"/>
              <w:spacing w:before="0" w:after="0" w:line="252" w:lineRule="auto"/>
              <w:jc w:val="left"/>
            </w:pPr>
            <w:r>
              <w:rPr>
                <w:rFonts w:ascii="Calibri" w:hAnsi="Calibri"/>
                <w:b w:val="0"/>
                <w:color w:val="000000"/>
                <w:sz w:val="21"/>
              </w:rPr>
              <w:t>2/2 passed format; 0/2 passed evidence requirements</w:t>
            </w:r>
          </w:p>
        </w:tc>
      </w:tr>
      <w:tr>
        <w:trPr>
          <w:cantSplit/>
        </w:trPr>
        <w:tc>
          <w:tcPr>
            <w:tcW w:type="dxa" w:w="864"/>
            <w:vAlign w:val="center"/>
            <w:tcMar>
              <w:top w:w="90" w:type="dxa"/>
              <w:bottom w:w="90" w:type="dxa"/>
              <w:left w:w="110" w:type="dxa"/>
              <w:right w:w="110" w:type="dxa"/>
            </w:tcMar>
          </w:tcPr>
          <w:p>
            <w:pPr>
              <w:keepNext w:val="0"/>
              <w:spacing w:before="0" w:after="0" w:line="252" w:lineRule="auto"/>
              <w:jc w:val="center"/>
            </w:pPr>
            <w:r>
              <w:rPr>
                <w:rFonts w:ascii="Calibri" w:hAnsi="Calibri"/>
                <w:b w:val="0"/>
                <w:color w:val="000000"/>
                <w:sz w:val="21"/>
              </w:rPr>
              <w:t>3</w:t>
            </w:r>
          </w:p>
        </w:tc>
        <w:tc>
          <w:tcPr>
            <w:tcW w:type="dxa" w:w="1080"/>
            <w:vAlign w:val="center"/>
            <w:tcMar>
              <w:top w:w="90" w:type="dxa"/>
              <w:bottom w:w="90" w:type="dxa"/>
              <w:left w:w="110" w:type="dxa"/>
              <w:right w:w="110" w:type="dxa"/>
            </w:tcMar>
          </w:tcPr>
          <w:p>
            <w:pPr>
              <w:keepNext w:val="0"/>
              <w:spacing w:before="0" w:after="0" w:line="252" w:lineRule="auto"/>
              <w:jc w:val="center"/>
            </w:pPr>
            <w:r>
              <w:rPr>
                <w:rFonts w:ascii="Calibri" w:hAnsi="Calibri"/>
                <w:b w:val="0"/>
                <w:color w:val="000000"/>
                <w:sz w:val="21"/>
              </w:rPr>
              <w:t>2</w:t>
            </w:r>
          </w:p>
        </w:tc>
        <w:tc>
          <w:tcPr>
            <w:tcW w:type="dxa" w:w="2952"/>
            <w:vAlign w:val="center"/>
            <w:tcMar>
              <w:top w:w="90" w:type="dxa"/>
              <w:bottom w:w="90" w:type="dxa"/>
              <w:left w:w="110" w:type="dxa"/>
              <w:right w:w="110" w:type="dxa"/>
            </w:tcMar>
          </w:tcPr>
          <w:p>
            <w:pPr>
              <w:keepNext w:val="0"/>
              <w:spacing w:before="0" w:after="0" w:line="252" w:lineRule="auto"/>
              <w:jc w:val="left"/>
            </w:pPr>
            <w:r>
              <w:rPr>
                <w:rFonts w:ascii="Calibri" w:hAnsi="Calibri"/>
                <w:b w:val="0"/>
                <w:color w:val="000000"/>
                <w:sz w:val="21"/>
              </w:rPr>
              <w:t>One technique per prompt</w:t>
            </w:r>
          </w:p>
        </w:tc>
        <w:tc>
          <w:tcPr>
            <w:tcW w:type="dxa" w:w="1296"/>
            <w:vAlign w:val="center"/>
            <w:tcMar>
              <w:top w:w="90" w:type="dxa"/>
              <w:bottom w:w="90" w:type="dxa"/>
              <w:left w:w="110" w:type="dxa"/>
              <w:right w:w="110" w:type="dxa"/>
            </w:tcMar>
          </w:tcPr>
          <w:p>
            <w:pPr>
              <w:keepNext w:val="0"/>
              <w:spacing w:before="0" w:after="0" w:line="252" w:lineRule="auto"/>
              <w:jc w:val="center"/>
            </w:pPr>
            <w:r>
              <w:rPr>
                <w:rFonts w:ascii="Calibri" w:hAnsi="Calibri"/>
                <w:b w:val="0"/>
                <w:color w:val="000000"/>
                <w:sz w:val="21"/>
              </w:rPr>
              <w:t>1,024 tokens</w:t>
            </w:r>
          </w:p>
        </w:tc>
        <w:tc>
          <w:tcPr>
            <w:tcW w:type="dxa" w:w="3600"/>
            <w:vAlign w:val="center"/>
            <w:tcMar>
              <w:top w:w="90" w:type="dxa"/>
              <w:bottom w:w="90" w:type="dxa"/>
              <w:left w:w="110" w:type="dxa"/>
              <w:right w:w="110" w:type="dxa"/>
            </w:tcMar>
          </w:tcPr>
          <w:p>
            <w:pPr>
              <w:keepNext w:val="0"/>
              <w:spacing w:before="0" w:after="0" w:line="252" w:lineRule="auto"/>
              <w:jc w:val="left"/>
            </w:pPr>
            <w:r>
              <w:rPr>
                <w:rFonts w:ascii="Calibri" w:hAnsi="Calibri"/>
                <w:b w:val="0"/>
                <w:color w:val="000000"/>
                <w:sz w:val="21"/>
              </w:rPr>
              <w:t>2/2 passed simplified checks</w:t>
            </w:r>
          </w:p>
        </w:tc>
      </w:tr>
    </w:tbl>
    <w:p>
      <w:pPr>
        <w:widowControl/>
        <w:spacing w:before="160"/>
      </w:pPr>
      <w:r>
        <w:t>The checks differ by version and are not accuracy scores. All ten generations completed without an output-length stop or reported context-budget warning. The human-review fields in the saved archives remain pending.</w:t>
      </w:r>
    </w:p>
    <w:p>
      <w:pPr>
        <w:pStyle w:val="Heading2"/>
        <w:widowControl/>
      </w:pPr>
      <w:r>
        <w:t>Version 1 reference selection pilot</w:t>
      </w:r>
    </w:p>
    <w:p>
      <w:pPr>
        <w:widowControl/>
      </w:pPr>
      <w:r>
        <w:t>Version 1 compared six fixed ATT&amp;CK definitions with six selected by BM25 retrieval from the same corpus. Both conditions received the same network evidence, CTI, instructions and generation settings. The retrieved responses mentioned rejected connections and byte volume in all three runs; the fixed responses did so in none. Yet all six incorrectly listed the supplied directional-byte record E008 as missing, and none cited CTI record C001. The retrieved responses proposed protocol impersonation without evidence of traffic disguised as another service. The fixed responses proposed exfiltration over C2, and two also proposed web C2, on weak port and service rationales (PRT840 project team 2026d).</w:t>
      </w:r>
    </w:p>
    <w:p>
      <w:pPr>
        <w:widowControl/>
      </w:pPr>
      <w:r>
        <w:t>Seeds 43 and 44 generated identical responses within each condition. This repetition does not supply independent statistical observations. Retrieval changed what the model mentioned, but this pilot does not show more accurate mappings or proportionate response guidance.</w:t>
      </w:r>
    </w:p>
    <w:p>
      <w:pPr>
        <w:pStyle w:val="Heading2"/>
        <w:pageBreakBefore/>
        <w:widowControl/>
      </w:pPr>
      <w:r>
        <w:t>Version 2 evidence requirements</w:t>
      </w:r>
    </w:p>
    <w:p>
      <w:pPr>
        <w:widowControl/>
      </w:pPr>
      <w:r>
        <w:t>Version 2 revised retrieval to use separate evidence topics and exclude entries whose platform was PRE only. It also required explicit assessment of connection states, byte direction, service scope and CTI, plus a judgement for every supplied technique. Both seed-42 outputs were valid JSON and matched the schema, but each assessed only three of six candidates and omitted required exact byte figures. Both therefore failed the added evidence checks (PRT840 project team 2026e).</w:t>
      </w:r>
    </w:p>
    <w:p>
      <w:pPr>
        <w:widowControl/>
      </w:pPr>
      <w:r>
        <w:t>Both outputs cited C001 and stopped listing E008 as missing. Their explanations still overstated the evidence: the fixed response linked rejected and reset connections to exfiltration, while the retrieved response linked rejected or unanswered attempts to impersonation. The fixed response also labelled two techniques possible while declaring no behavioural support. The additional checks exposed omissions and contradictions; they did not correct the underlying interpretation.</w:t>
      </w:r>
    </w:p>
    <w:p>
      <w:pPr>
        <w:pStyle w:val="Heading2"/>
        <w:widowControl/>
      </w:pPr>
      <w:r>
        <w:t>Version 3 single technique diagnostic</w:t>
      </w:r>
    </w:p>
    <w:p>
      <w:pPr>
        <w:widowControl/>
      </w:pPr>
      <w:r>
        <w:t>Version 3 separated the task into two short prompts, each with the unchanged case evidence and one complete normalised official definition. T1001.003 and T1041 were selected manually to investigate recurring errors. No retrieval was performed in this diagnostic. Python generated EXACT_EVIDENCE.md directly from the supplied aggregates, and forecasts and response actions were removed from the model task. Both responses passed the simplified checks (PRT840 project team 2026f).</w:t>
      </w:r>
    </w:p>
    <w:p>
      <w:pPr>
        <w:widowControl/>
      </w:pPr>
      <w:r>
        <w:t>For T1001.003, Protocol or Service Impersonation, the model returned not_established. This is defensible because the input does not demonstrate traffic imitating a trusted protocol or service. Its rationale remained flawed: it described port 5888 as a legitimate SSL/TLS port. The input supplies an aggregate ssl tag; the port number alone does not establish the protocol or legitimacy of the traffic (MITRE n.d.c; PRT840 project team 2026f).</w:t>
      </w:r>
    </w:p>
    <w:p>
      <w:pPr>
        <w:widowControl/>
      </w:pPr>
      <w:r>
        <w:t>For T1041, Exfiltration Over C2 Channel, the model returned possible but assigned 435,984 bytes to port 80. As Table 1 shows, 435,984 is the responder-byte counter for port 5888; that endpoint has 190,672,103 originator bytes. Port 80 has 71 originator and 1,213 responder bytes. The model also treated the historical endpoint match as proof of an existing C2 channel. The byte imbalance and CTI can motivate investigation, but neither the transferred content nor an active C2 channel is established by this input (MITRE n.d.d; PRT840 project team 2026f).</w:t>
      </w:r>
    </w:p>
    <w:p>
      <w:pPr>
        <w:widowControl/>
      </w:pPr>
      <w:r>
        <w:t>The Python evidence table reproduces the supplied case aggregates; it was not independently recomputed from the raw Zeek logs. A correct deterministic table cannot validate the model's prose. The impersonation response gave a cautious status but an incorrect explanation, and the exfiltration response misassigned byte counters. Neither response establishes a confirmed ATT&amp;CK technique.</w:t>
      </w:r>
    </w:p>
    <w:p>
      <w:pPr>
        <w:pStyle w:val="Heading2"/>
        <w:widowControl/>
      </w:pPr>
      <w:r>
        <w:t>Interpretation of the later experiments</w:t>
      </w:r>
    </w:p>
    <w:p>
      <w:pPr>
        <w:widowControl/>
      </w:pPr>
      <w:r>
        <w:t>Versions 2 and 3 were designed after inspecting earlier failures on this same case. Task scope, retrieval and output requirements changed, so the three versions cannot be ranked by a common accuracy percentage or used to claim that RAG improved performance. The case remains one retrospectively selected example. No verified attack chain or validated incident-response playbook resulted from these experiments.</w:t>
      </w:r>
    </w:p>
    <w:p>
      <w:pPr>
        <w:widowControl/>
      </w:pPr>
      <w:r>
        <w:t>The saved outputs make omissions, wrong byte assignments and unsupported interpretations auditable. Deterministic flow facts should remain separate from generated explanations, and analysts must compare each proposed technique with its actual behavioural requirements. The existing runs are sufficient for this report revision; additional local generation is not required to describe these findings.</w:t>
      </w:r>
    </w:p>
    <w:p>
      <w:pPr>
        <w:pStyle w:val="Heading1"/>
        <w:pageBreakBefore/>
      </w:pPr>
      <w:r>
        <w:t>Model source and evaluation review</w:t>
      </w:r>
    </w:p>
    <w:p>
      <w:commentRangeStart w:id="1"/>
      <w:r>
        <w:t>At the reviewed repository commit, the preprocessing scripts and baseline notebook excluded raw IP addresses, UIDs and target labels, but retained id.orig_p and id.resp_p. The Week 9 minutes of 24 September subsequently record the requested IP and port audit as completed. The metrics below remain those of the earlier reviewed commit; the updated feature list and any rerun metrics were not independently re-audited in this report revision (PRT840 project team 2026c, 2026g).</w:t>
      </w:r>
      <w:commentRangeEnd w:id="1"/>
      <w:r>
        <w:rPr>
          <w:rStyle w:val="CommentReference"/>
        </w:rPr>
        <w:commentReference w:id="1"/>
      </w:r>
    </w:p>
    <w:p>
      <w:r>
        <w:t>The saved metrics below describe broader VM3 evaluations, not the 22 February case alone. DT trains on 20 to 21 February and tests on 22 to 26 February. IF fits 42,555 benign records, calibrates on 9,119 benign records at the 99th percentile, and tests all malicious records plus 9,120 held-out benign records (PRT840 project team 2026c).</w:t>
      </w:r>
    </w:p>
    <w:p>
      <w:pPr>
        <w:pStyle w:val="Caption"/>
        <w:keepNext/>
      </w:pPr>
      <w:r>
        <w:rPr>
          <w:color w:val="000000"/>
        </w:rPr>
        <w:t>Table 5. Previously saved VM3 classifier metrics, using different test populations. Source: reviewed repository commit (PRT840 project team 2026c).</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26"/>
        <w:gridCol w:w="1526"/>
        <w:gridCol w:w="2376"/>
        <w:gridCol w:w="2664"/>
      </w:tblGrid>
      <w:tr>
        <w:trPr>
          <w:cantSplit/>
          <w:tblHeader/>
        </w:trPr>
        <w:tc>
          <w:tcPr>
            <w:tcW w:type="dxa" w:w="3226"/>
            <w:vAlign w:val="center"/>
            <w:tcMar>
              <w:top w:w="75" w:type="dxa"/>
              <w:bottom w:w="75" w:type="dxa"/>
              <w:left w:w="100" w:type="dxa"/>
              <w:right w:w="100" w:type="dxa"/>
            </w:tcMar>
            <w:shd w:fill="DCE6EF"/>
          </w:tcPr>
          <w:p>
            <w:pPr>
              <w:keepNext/>
              <w:spacing w:after="20" w:before="20" w:line="240" w:lineRule="auto"/>
            </w:pPr>
            <w:r>
              <w:rPr>
                <w:b w:val="0"/>
                <w:sz w:val="21"/>
              </w:rPr>
              <w:t>Saved evaluation</w:t>
            </w:r>
          </w:p>
        </w:tc>
        <w:tc>
          <w:tcPr>
            <w:tcW w:type="dxa" w:w="1526"/>
            <w:vAlign w:val="center"/>
            <w:tcMar>
              <w:top w:w="75" w:type="dxa"/>
              <w:bottom w:w="75" w:type="dxa"/>
              <w:left w:w="100" w:type="dxa"/>
              <w:right w:w="100" w:type="dxa"/>
            </w:tcMar>
            <w:shd w:fill="DCE6EF"/>
          </w:tcPr>
          <w:p>
            <w:pPr>
              <w:keepNext/>
              <w:spacing w:after="20" w:before="20" w:line="240" w:lineRule="auto"/>
            </w:pPr>
            <w:r>
              <w:rPr>
                <w:b w:val="0"/>
                <w:sz w:val="21"/>
              </w:rPr>
              <w:t>Test records</w:t>
            </w:r>
          </w:p>
        </w:tc>
        <w:tc>
          <w:tcPr>
            <w:tcW w:type="dxa" w:w="2376"/>
            <w:vAlign w:val="center"/>
            <w:tcMar>
              <w:top w:w="75" w:type="dxa"/>
              <w:bottom w:w="75" w:type="dxa"/>
              <w:left w:w="100" w:type="dxa"/>
              <w:right w:w="100" w:type="dxa"/>
            </w:tcMar>
            <w:shd w:fill="DCE6EF"/>
          </w:tcPr>
          <w:p>
            <w:pPr>
              <w:keepNext/>
              <w:spacing w:after="20" w:before="20" w:line="240" w:lineRule="auto"/>
            </w:pPr>
            <w:r>
              <w:rPr>
                <w:b w:val="0"/>
                <w:sz w:val="21"/>
              </w:rPr>
              <w:t>TP / FN</w:t>
            </w:r>
          </w:p>
        </w:tc>
        <w:tc>
          <w:tcPr>
            <w:tcW w:type="dxa" w:w="2664"/>
            <w:vAlign w:val="center"/>
            <w:tcMar>
              <w:top w:w="75" w:type="dxa"/>
              <w:bottom w:w="75" w:type="dxa"/>
              <w:left w:w="100" w:type="dxa"/>
              <w:right w:w="100" w:type="dxa"/>
            </w:tcMar>
            <w:shd w:fill="DCE6EF"/>
          </w:tcPr>
          <w:p>
            <w:pPr>
              <w:keepNext/>
              <w:spacing w:after="20" w:before="20" w:line="240" w:lineRule="auto"/>
            </w:pPr>
            <w:r>
              <w:rPr>
                <w:b w:val="0"/>
                <w:sz w:val="21"/>
              </w:rPr>
              <w:t>TN / FP</w:t>
            </w:r>
          </w:p>
        </w:tc>
      </w:tr>
      <w:tr>
        <w:trPr>
          <w:cantSplit/>
        </w:trPr>
        <w:tc>
          <w:tcPr>
            <w:tcW w:type="dxa" w:w="3226"/>
            <w:vAlign w:val="center"/>
            <w:tcMar>
              <w:top w:w="75" w:type="dxa"/>
              <w:bottom w:w="75" w:type="dxa"/>
              <w:left w:w="100" w:type="dxa"/>
              <w:right w:w="100" w:type="dxa"/>
            </w:tcMar>
          </w:tcPr>
          <w:p>
            <w:pPr>
              <w:keepNext w:val="0"/>
              <w:spacing w:after="20" w:before="20" w:line="240" w:lineRule="auto"/>
            </w:pPr>
            <w:r>
              <w:rPr>
                <w:b w:val="0"/>
                <w:sz w:val="21"/>
              </w:rPr>
              <w:t>DT chronological</w:t>
            </w:r>
          </w:p>
        </w:tc>
        <w:tc>
          <w:tcPr>
            <w:tcW w:type="dxa" w:w="1526"/>
            <w:vAlign w:val="center"/>
            <w:tcMar>
              <w:top w:w="75" w:type="dxa"/>
              <w:bottom w:w="75" w:type="dxa"/>
              <w:left w:w="100" w:type="dxa"/>
              <w:right w:w="100" w:type="dxa"/>
            </w:tcMar>
          </w:tcPr>
          <w:p>
            <w:pPr>
              <w:keepNext w:val="0"/>
              <w:spacing w:after="20" w:before="20" w:line="240" w:lineRule="auto"/>
            </w:pPr>
            <w:r>
              <w:rPr>
                <w:b w:val="0"/>
                <w:sz w:val="21"/>
              </w:rPr>
              <w:t>78,425</w:t>
            </w:r>
          </w:p>
        </w:tc>
        <w:tc>
          <w:tcPr>
            <w:tcW w:type="dxa" w:w="2376"/>
            <w:vAlign w:val="center"/>
            <w:tcMar>
              <w:top w:w="75" w:type="dxa"/>
              <w:bottom w:w="75" w:type="dxa"/>
              <w:left w:w="100" w:type="dxa"/>
              <w:right w:w="100" w:type="dxa"/>
            </w:tcMar>
          </w:tcPr>
          <w:p>
            <w:pPr>
              <w:keepNext w:val="0"/>
              <w:spacing w:after="20" w:before="20" w:line="240" w:lineRule="auto"/>
            </w:pPr>
            <w:r>
              <w:rPr>
                <w:b w:val="0"/>
                <w:sz w:val="21"/>
              </w:rPr>
              <w:t>34,215 / 21</w:t>
            </w:r>
          </w:p>
        </w:tc>
        <w:tc>
          <w:tcPr>
            <w:tcW w:type="dxa" w:w="2664"/>
            <w:vAlign w:val="center"/>
            <w:tcMar>
              <w:top w:w="75" w:type="dxa"/>
              <w:bottom w:w="75" w:type="dxa"/>
              <w:left w:w="100" w:type="dxa"/>
              <w:right w:w="100" w:type="dxa"/>
            </w:tcMar>
          </w:tcPr>
          <w:p>
            <w:pPr>
              <w:keepNext w:val="0"/>
              <w:spacing w:after="20" w:before="20" w:line="240" w:lineRule="auto"/>
            </w:pPr>
            <w:r>
              <w:rPr>
                <w:b w:val="0"/>
                <w:sz w:val="21"/>
              </w:rPr>
              <w:t>44,183 / 6</w:t>
            </w:r>
          </w:p>
        </w:tc>
      </w:tr>
      <w:tr>
        <w:trPr>
          <w:cantSplit/>
        </w:trPr>
        <w:tc>
          <w:tcPr>
            <w:tcW w:type="dxa" w:w="3226"/>
            <w:vAlign w:val="center"/>
            <w:tcMar>
              <w:top w:w="75" w:type="dxa"/>
              <w:bottom w:w="75" w:type="dxa"/>
              <w:left w:w="100" w:type="dxa"/>
              <w:right w:w="100" w:type="dxa"/>
            </w:tcMar>
          </w:tcPr>
          <w:p>
            <w:pPr>
              <w:keepNext w:val="0"/>
              <w:spacing w:after="20" w:before="20" w:line="240" w:lineRule="auto"/>
            </w:pPr>
            <w:r>
              <w:rPr>
                <w:b w:val="0"/>
                <w:sz w:val="21"/>
              </w:rPr>
              <w:t>IF benign split</w:t>
            </w:r>
          </w:p>
        </w:tc>
        <w:tc>
          <w:tcPr>
            <w:tcW w:type="dxa" w:w="1526"/>
            <w:vAlign w:val="center"/>
            <w:tcMar>
              <w:top w:w="75" w:type="dxa"/>
              <w:bottom w:w="75" w:type="dxa"/>
              <w:left w:w="100" w:type="dxa"/>
              <w:right w:w="100" w:type="dxa"/>
            </w:tcMar>
          </w:tcPr>
          <w:p>
            <w:pPr>
              <w:keepNext w:val="0"/>
              <w:spacing w:after="20" w:before="20" w:line="240" w:lineRule="auto"/>
            </w:pPr>
            <w:r>
              <w:rPr>
                <w:b w:val="0"/>
                <w:sz w:val="21"/>
              </w:rPr>
              <w:t>88,091</w:t>
            </w:r>
          </w:p>
        </w:tc>
        <w:tc>
          <w:tcPr>
            <w:tcW w:type="dxa" w:w="2376"/>
            <w:vAlign w:val="center"/>
            <w:tcMar>
              <w:top w:w="75" w:type="dxa"/>
              <w:bottom w:w="75" w:type="dxa"/>
              <w:left w:w="100" w:type="dxa"/>
              <w:right w:w="100" w:type="dxa"/>
            </w:tcMar>
          </w:tcPr>
          <w:p>
            <w:pPr>
              <w:keepNext w:val="0"/>
              <w:spacing w:after="20" w:before="20" w:line="240" w:lineRule="auto"/>
            </w:pPr>
            <w:r>
              <w:rPr>
                <w:b w:val="0"/>
                <w:sz w:val="21"/>
              </w:rPr>
              <w:t>28 / 78,943</w:t>
            </w:r>
          </w:p>
        </w:tc>
        <w:tc>
          <w:tcPr>
            <w:tcW w:type="dxa" w:w="2664"/>
            <w:vAlign w:val="center"/>
            <w:tcMar>
              <w:top w:w="75" w:type="dxa"/>
              <w:bottom w:w="75" w:type="dxa"/>
              <w:left w:w="100" w:type="dxa"/>
              <w:right w:w="100" w:type="dxa"/>
            </w:tcMar>
          </w:tcPr>
          <w:p>
            <w:pPr>
              <w:keepNext w:val="0"/>
              <w:spacing w:after="20" w:before="20" w:line="240" w:lineRule="auto"/>
            </w:pPr>
            <w:r>
              <w:rPr>
                <w:b w:val="0"/>
                <w:sz w:val="21"/>
              </w:rPr>
              <w:t>9,011 / 109</w:t>
            </w:r>
          </w:p>
        </w:tc>
      </w:tr>
    </w:tbl>
    <w:p>
      <w:pPr>
        <w:spacing w:after="20"/>
      </w:pPr>
    </w:p>
    <w:p>
      <w:r>
        <w:t>IF recall is 28/78,971 = 0.00035456, or 0.03546%; a displayed 0.00 is rounding, not zero detections. Only 28 malicious flows exceeded its calibrated threshold of 0.04653249. DT learns from both classes, while IF fits benign traffic only; their different objectives, calibration and test populations limit direct comparison. A port-exclusion evaluation is needed to assess that feature choice (PRT840 project team 2026c).</w:t>
      </w:r>
    </w:p>
    <w:p>
      <w:pPr>
        <w:pStyle w:val="Heading1"/>
      </w:pPr>
      <w:r>
        <w:t>Analyst recommendations and current conclusion</w:t>
      </w:r>
    </w:p>
    <w:p>
      <w:r>
        <w:t>Preserve the logs and prioritise the byte-bearing sessions to 66.63.168.35:5888 for correlation with available TLS and host-process evidence. Monitor for retries. Containment recommendations require corroboration and clear scope; the historical endpoint match alone is insufficient.</w:t>
      </w:r>
    </w:p>
    <w:p>
      <w:r>
        <w:t>The original CTI-enriched response put attention on the relevant endpoint, while unsupported mappings and advice persisted. Later experiments improved output structure and exposed omissions, but factual and interpretive errors remained. Successful C2, exfiltration, attacker intent and an attack chain are not established. The study supports an analyst-reviewed investigation workflow, not autonomous attribution, a demonstrated RAG accuracy gain or a completed response playbook.</w:t>
      </w:r>
    </w:p>
    <w:p>
      <w:pPr>
        <w:pStyle w:val="Heading1"/>
        <w:pageBreakBefore/>
      </w:pPr>
      <w:r>
        <w:t>Remaining review and evidence links</w:t>
      </w:r>
    </w:p>
    <w:p>
      <w:r>
        <w:t>The original two LLM runs and all three later development versions are accounted for. The archive and executable CTI pages now confirm the two sample types, first-seen timestamps and common extracted endpoint. The outstanding work in Table 6 concerns independent interpretation, an updated source commit for the reported feature audit, and final report integration. No further Ollama run is needed for these saved results (PRT840 project team 2026g).</w:t>
      </w:r>
    </w:p>
    <w:p>
      <w:pPr>
        <w:pStyle w:val="Caption"/>
        <w:keepNext/>
      </w:pPr>
      <w:r>
        <w:rPr>
          <w:color w:val="000000"/>
        </w:rPr>
        <w:t>Table 6. Work needed before integrating this case in the final report. Source: evidence review and Week 9 minutes (PRT840 project team 2026g).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92"/>
        <w:gridCol w:w="2376"/>
        <w:gridCol w:w="4824"/>
      </w:tblGrid>
      <w:tr>
        <w:trPr>
          <w:cantSplit/>
          <w:tblHeader/>
        </w:trPr>
        <w:tc>
          <w:tcPr>
            <w:tcW w:type="dxa" w:w="2592"/>
            <w:vAlign w:val="center"/>
            <w:tcMar>
              <w:top w:w="75" w:type="dxa"/>
              <w:bottom w:w="75" w:type="dxa"/>
              <w:left w:w="100" w:type="dxa"/>
              <w:right w:w="100" w:type="dxa"/>
            </w:tcMar>
            <w:shd w:fill="DCE6EF"/>
          </w:tcPr>
          <w:p>
            <w:pPr>
              <w:keepNext/>
              <w:spacing w:after="20" w:before="20" w:line="240" w:lineRule="auto"/>
            </w:pPr>
            <w:r>
              <w:rPr>
                <w:b w:val="0"/>
                <w:sz w:val="21"/>
              </w:rPr>
              <w:t>Item</w:t>
            </w:r>
          </w:p>
        </w:tc>
        <w:tc>
          <w:tcPr>
            <w:tcW w:type="dxa" w:w="2376"/>
            <w:vAlign w:val="center"/>
            <w:tcMar>
              <w:top w:w="75" w:type="dxa"/>
              <w:bottom w:w="75" w:type="dxa"/>
              <w:left w:w="100" w:type="dxa"/>
              <w:right w:w="100" w:type="dxa"/>
            </w:tcMar>
            <w:shd w:fill="DCE6EF"/>
          </w:tcPr>
          <w:p>
            <w:pPr>
              <w:keepNext/>
              <w:spacing w:after="20" w:before="20" w:line="240" w:lineRule="auto"/>
            </w:pPr>
            <w:r>
              <w:rPr>
                <w:b w:val="0"/>
                <w:sz w:val="21"/>
              </w:rPr>
              <w:t>Owner</w:t>
            </w:r>
          </w:p>
        </w:tc>
        <w:tc>
          <w:tcPr>
            <w:tcW w:type="dxa" w:w="4824"/>
            <w:vAlign w:val="center"/>
            <w:tcMar>
              <w:top w:w="75" w:type="dxa"/>
              <w:bottom w:w="75" w:type="dxa"/>
              <w:left w:w="100" w:type="dxa"/>
              <w:right w:w="100" w:type="dxa"/>
            </w:tcMar>
            <w:shd w:fill="DCE6EF"/>
          </w:tcPr>
          <w:p>
            <w:pPr>
              <w:keepNext/>
              <w:spacing w:after="20" w:before="20" w:line="240" w:lineRule="auto"/>
            </w:pPr>
            <w:r>
              <w:rPr>
                <w:b w:val="0"/>
                <w:sz w:val="21"/>
              </w:rPr>
              <w:t>Evidence or review required</w:t>
            </w:r>
          </w:p>
        </w:tc>
      </w:tr>
      <w:tr>
        <w:trPr>
          <w:cantSplit/>
        </w:trPr>
        <w:tc>
          <w:tcPr>
            <w:tcW w:type="dxa" w:w="2592"/>
            <w:vAlign w:val="center"/>
          </w:tcPr>
          <w:p>
            <w:pPr>
              <w:spacing w:before="40" w:after="40" w:line="252" w:lineRule="auto"/>
            </w:pPr>
            <w:r>
              <w:rPr>
                <w:b w:val="0"/>
                <w:sz w:val="21"/>
              </w:rPr>
              <w:t>Later ATT&amp;CK assessments</w:t>
            </w:r>
          </w:p>
        </w:tc>
        <w:tc>
          <w:tcPr>
            <w:tcW w:type="dxa" w:w="2376"/>
            <w:vAlign w:val="center"/>
          </w:tcPr>
          <w:p>
            <w:pPr>
              <w:spacing w:before="40" w:after="40" w:line="252" w:lineRule="auto"/>
            </w:pPr>
            <w:r>
              <w:rPr>
                <w:b w:val="0"/>
                <w:sz w:val="21"/>
              </w:rPr>
              <w:t>Duc and Bayezid</w:t>
            </w:r>
          </w:p>
        </w:tc>
        <w:tc>
          <w:tcPr>
            <w:tcW w:type="dxa" w:w="4824"/>
            <w:vAlign w:val="center"/>
          </w:tcPr>
          <w:p>
            <w:pPr>
              <w:spacing w:before="40" w:after="40" w:line="252" w:lineRule="auto"/>
            </w:pPr>
            <w:r>
              <w:rPr>
                <w:b w:val="0"/>
                <w:sz w:val="21"/>
              </w:rPr>
              <w:t>Review the saved explanations against the network evidence and official definitions; record reasons for accepting, rejecting or retaining each hypothesis.</w:t>
            </w:r>
          </w:p>
        </w:tc>
      </w:tr>
      <w:tr>
        <w:trPr>
          <w:cantSplit/>
        </w:trPr>
        <w:tc>
          <w:tcPr>
            <w:tcW w:type="dxa" w:w="2592"/>
            <w:vAlign w:val="center"/>
          </w:tcPr>
          <w:p>
            <w:r>
              <w:t>CTI provenance</w:t>
            </w:r>
          </w:p>
        </w:tc>
        <w:tc>
          <w:tcPr>
            <w:tcW w:type="dxa" w:w="2376"/>
            <w:vAlign w:val="center"/>
          </w:tcPr>
          <w:p>
            <w:r>
              <w:t>Duc and Bayezid</w:t>
            </w:r>
          </w:p>
        </w:tc>
        <w:tc>
          <w:tcPr>
            <w:tcW w:type="dxa" w:w="4824"/>
            <w:vAlign w:val="center"/>
          </w:tcPr>
          <w:p>
            <w:r>
              <w:t>Archive and executable pages checked on 28 September. Keep the two source URLs and the original CTI register with the report; disclose that the date when the extracted configuration became public is unknown.</w:t>
            </w:r>
          </w:p>
        </w:tc>
      </w:tr>
      <w:tr>
        <w:trPr>
          <w:cantSplit/>
        </w:trPr>
        <w:tc>
          <w:tcPr>
            <w:tcW w:type="dxa" w:w="2592"/>
            <w:vAlign w:val="center"/>
          </w:tcPr>
          <w:p>
            <w:pPr>
              <w:spacing w:before="40" w:after="40" w:line="252" w:lineRule="auto"/>
            </w:pPr>
            <w:r>
              <w:rPr>
                <w:b w:val="0"/>
                <w:sz w:val="21"/>
              </w:rPr>
              <w:t>Completed feature audit</w:t>
            </w:r>
          </w:p>
        </w:tc>
        <w:tc>
          <w:tcPr>
            <w:tcW w:type="dxa" w:w="2376"/>
            <w:vAlign w:val="center"/>
          </w:tcPr>
          <w:p>
            <w:pPr>
              <w:spacing w:before="40" w:after="40" w:line="252" w:lineRule="auto"/>
            </w:pPr>
            <w:r>
              <w:rPr>
                <w:b w:val="0"/>
                <w:sz w:val="21"/>
              </w:rPr>
              <w:t>Duc and Bayezid</w:t>
            </w:r>
          </w:p>
        </w:tc>
        <w:tc>
          <w:tcPr>
            <w:tcW w:type="dxa" w:w="4824"/>
            <w:vAlign w:val="center"/>
          </w:tcPr>
          <w:p>
            <w:pPr>
              <w:spacing w:before="40" w:after="40" w:line="252" w:lineRule="auto"/>
            </w:pPr>
            <w:r>
              <w:rPr>
                <w:b w:val="0"/>
                <w:sz w:val="21"/>
              </w:rPr>
              <w:t>Link the updated source commit and applicable metrics to the completion recorded on 24 September; retain the earlier metrics with their original scope.</w:t>
            </w:r>
          </w:p>
        </w:tc>
      </w:tr>
      <w:tr>
        <w:trPr>
          <w:cantSplit/>
        </w:trPr>
        <w:tc>
          <w:tcPr>
            <w:tcW w:type="dxa" w:w="2592"/>
            <w:vAlign w:val="center"/>
          </w:tcPr>
          <w:p>
            <w:pPr>
              <w:spacing w:before="40" w:after="40" w:line="252" w:lineRule="auto"/>
            </w:pPr>
            <w:r>
              <w:rPr>
                <w:b w:val="0"/>
                <w:sz w:val="21"/>
              </w:rPr>
              <w:t>Method and findings review</w:t>
            </w:r>
          </w:p>
        </w:tc>
        <w:tc>
          <w:tcPr>
            <w:tcW w:type="dxa" w:w="2376"/>
            <w:vAlign w:val="center"/>
          </w:tcPr>
          <w:p>
            <w:pPr>
              <w:spacing w:before="40" w:after="40" w:line="252" w:lineRule="auto"/>
            </w:pPr>
            <w:r>
              <w:rPr>
                <w:b w:val="0"/>
                <w:sz w:val="21"/>
              </w:rPr>
              <w:t>Yoana and Gerard</w:t>
            </w:r>
          </w:p>
        </w:tc>
        <w:tc>
          <w:tcPr>
            <w:tcW w:type="dxa" w:w="4824"/>
            <w:vAlign w:val="center"/>
          </w:tcPr>
          <w:p>
            <w:pPr>
              <w:spacing w:before="40" w:after="40" w:line="252" w:lineRule="auto"/>
            </w:pPr>
            <w:r>
              <w:rPr>
                <w:b w:val="0"/>
                <w:sz w:val="21"/>
              </w:rPr>
              <w:t>Check the experiment description, citations and distinction between format checks and evidence support before integrating this case into the final report.</w:t>
            </w:r>
          </w:p>
        </w:tc>
      </w:tr>
    </w:tbl>
    <w:p>
      <w:pPr>
        <w:spacing w:after="20"/>
      </w:pPr>
    </w:p>
    <w:p>
      <w:pPr>
        <w:widowControl/>
      </w:pPr>
      <w:r>
        <w:t>Review status: the interpretations in this draft are AI-assisted and await independent team sign-off. The saved raw model responses have not been rewritten. The case may be reported as a documented pilot with explicit limits; its generated technique mappings and response advice cannot be presented as validated findings.</w:t>
      </w:r>
    </w:p>
    <w:p>
      <w:pPr>
        <w:pStyle w:val="Heading1"/>
        <w:pageBreakBefore/>
      </w:pPr>
      <w:r>
        <w:t>References and evidence files</w:t>
      </w:r>
    </w:p>
    <w:p>
      <w:pPr>
        <w:keepLines/>
        <w:ind w:left="317" w:hanging="317"/>
      </w:pPr>
      <w:r>
        <w:t>abuse.ch n.d.a, MalwareBazaar sample report for SHA256 08c829e7056b8e022539076acbc962dea072e6506184d4036b785cb0e4592371, viewed 28 September 2026, https://bazaar.abuse.ch/sample/08c829e7056b8e022539076acbc962dea072e6506184d4036b785cb0e4592371/.</w:t>
      </w:r>
    </w:p>
    <w:p>
      <w:pPr>
        <w:keepLines/>
        <w:ind w:left="317" w:hanging="317"/>
      </w:pPr>
      <w:r>
        <w:t>abuse.ch n.d.b, MalwareBazaar sample report for SHA256 b121d9b4950ef1d71a99bbd8a0f93e71a150ec01f7986b1eebc1c557e9810819, viewed 28 September 2026, https://bazaar.abuse.ch/sample/b121d9b4950ef1d71a99bbd8a0f93e71a150ec01f7986b1eebc1c557e9810819/.</w:t>
      </w:r>
    </w:p>
    <w:p>
      <w:pPr>
        <w:keepLines/>
        <w:ind w:left="317" w:hanging="317"/>
      </w:pPr>
      <w:r>
        <w:rPr>
          <w:i w:val="0"/>
          <w:sz w:val="21"/>
        </w:rPr>
        <w:t xml:space="preserve">Bendl, S., Valeros, V. and Garcia, S. 2023, </w:t>
      </w:r>
      <w:r>
        <w:rPr>
          <w:i/>
          <w:sz w:val="21"/>
        </w:rPr>
        <w:t>CTU-SME-11: A labeled dataset with real benign and malicious network traffic mimicking a small medium-size enterprise environment</w:t>
      </w:r>
      <w:r>
        <w:rPr>
          <w:i w:val="0"/>
          <w:sz w:val="21"/>
        </w:rPr>
        <w:t>, version 1.0.0, Zenodo,</w:t>
      </w:r>
      <w:r>
        <w:t xml:space="preserve"> </w:t>
      </w:r>
      <w:hyperlink r:id="rId12">
        <w:r>
          <w:rPr>
            <w:color w:val="14598A"/>
            <w:sz w:val="20"/>
          </w:rPr>
          <w:t>https://doi.org/10.5281/zenodo.7958259</w:t>
        </w:r>
      </w:hyperlink>
      <w:r>
        <w:t>.</w:t>
      </w:r>
    </w:p>
    <w:p>
      <w:pPr>
        <w:keepLines/>
        <w:ind w:left="317" w:hanging="317"/>
      </w:pPr>
      <w:r>
        <w:rPr>
          <w:i w:val="0"/>
          <w:sz w:val="21"/>
        </w:rPr>
        <w:t xml:space="preserve">Duong, D.T. 2026, </w:t>
      </w:r>
      <w:r>
        <w:rPr>
          <w:i/>
          <w:sz w:val="21"/>
        </w:rPr>
        <w:t>RemcosRAT zero-shot LLM runs</w:t>
      </w:r>
      <w:r>
        <w:rPr>
          <w:i w:val="0"/>
          <w:sz w:val="21"/>
        </w:rPr>
        <w:t>, prompts, raw responses and run metadata, PRT840 GitHub repository, branch Vm3-DF+IF, commit 91f682a9510c2e5a79972afb99da9731e42c01e6, viewed 20 September 2026,</w:t>
      </w:r>
      <w:r>
        <w:t xml:space="preserve"> </w:t>
      </w:r>
      <w:hyperlink r:id="rId13">
        <w:r>
          <w:rPr>
            <w:color w:val="14598A"/>
            <w:sz w:val="20"/>
          </w:rPr>
          <w:t>https://github.com/ductri19122001/PRT840/tree/91f682a9510c2e5a79972afb99da9731e42c01e6/outputs/case_studies/LLM</w:t>
        </w:r>
      </w:hyperlink>
      <w:r>
        <w:t>.</w:t>
      </w:r>
    </w:p>
    <w:p>
      <w:pPr>
        <w:keepLines/>
        <w:ind w:left="317" w:hanging="317"/>
      </w:pPr>
      <w:r>
        <w:rPr>
          <w:i w:val="0"/>
          <w:sz w:val="21"/>
        </w:rPr>
        <w:t xml:space="preserve">MITRE n.d.a, </w:t>
      </w:r>
      <w:r>
        <w:rPr>
          <w:i/>
          <w:sz w:val="21"/>
        </w:rPr>
        <w:t>Application layer protocol: DNS</w:t>
      </w:r>
      <w:r>
        <w:rPr>
          <w:i w:val="0"/>
          <w:sz w:val="21"/>
        </w:rPr>
        <w:t>, ATT&amp;CK technique T1071.004, viewed 20 September 2026,</w:t>
      </w:r>
      <w:r>
        <w:t xml:space="preserve"> </w:t>
      </w:r>
      <w:hyperlink r:id="rId14">
        <w:r>
          <w:rPr>
            <w:color w:val="14598A"/>
            <w:sz w:val="20"/>
          </w:rPr>
          <w:t>https://attack.mitre.org/techniques/T1071/004/</w:t>
        </w:r>
      </w:hyperlink>
      <w:r>
        <w:t>.</w:t>
      </w:r>
    </w:p>
    <w:p>
      <w:pPr>
        <w:keepLines/>
        <w:ind w:left="317" w:hanging="317"/>
      </w:pPr>
      <w:r>
        <w:rPr>
          <w:i w:val="0"/>
          <w:sz w:val="21"/>
        </w:rPr>
        <w:t xml:space="preserve">MITRE n.d.b, </w:t>
      </w:r>
      <w:r>
        <w:rPr>
          <w:i/>
          <w:sz w:val="21"/>
        </w:rPr>
        <w:t>Network service discovery</w:t>
      </w:r>
      <w:r>
        <w:rPr>
          <w:i w:val="0"/>
          <w:sz w:val="21"/>
        </w:rPr>
        <w:t>, ATT&amp;CK technique T1046, viewed 20 September 2026,</w:t>
      </w:r>
      <w:r>
        <w:t xml:space="preserve"> </w:t>
      </w:r>
      <w:hyperlink r:id="rId15">
        <w:r>
          <w:rPr>
            <w:color w:val="14598A"/>
            <w:sz w:val="20"/>
          </w:rPr>
          <w:t>https://attack.mitre.org/techniques/T1046/</w:t>
        </w:r>
      </w:hyperlink>
      <w:r>
        <w:t>.</w:t>
      </w:r>
    </w:p>
    <w:p>
      <w:pPr>
        <w:keepLines/>
        <w:ind w:left="317" w:hanging="317"/>
      </w:pPr>
      <w:pPr/>
      <w:r>
        <w:rPr>
          <w:sz w:val="19"/>
        </w:rPr>
        <w:t>MITRE 2026, Enterprise ATT&amp;CK STIX data, version 19.2, source commit 6cda5ad8462c79e14fbb872f4e09059b18e0cfc4, retrieved 26 September 2026, https://github.com/mitre-attack/attack-stix-data. The experiment archive records source and normalised-cache checksums.</w:t>
      </w:r>
    </w:p>
    <w:p>
      <w:pPr>
        <w:keepLines/>
        <w:ind w:left="317" w:hanging="317"/>
      </w:pPr>
      <w:pPr/>
      <w:r>
        <w:rPr>
          <w:sz w:val="19"/>
        </w:rPr>
        <w:t>MITRE n.d.c, Data obfuscation: Protocol or service impersonation, ATT&amp;CK technique T1001.003, viewed 27 September 2026, https://attack.mitre.org/techniques/T1001/003/.</w:t>
      </w:r>
    </w:p>
    <w:p>
      <w:pPr>
        <w:keepLines/>
        <w:ind w:left="317" w:hanging="317"/>
      </w:pPr>
      <w:pPr/>
      <w:r>
        <w:rPr>
          <w:sz w:val="19"/>
        </w:rPr>
        <w:t>MITRE n.d.d, Exfiltration over C2 channel, ATT&amp;CK technique T1041, viewed 27 September 2026, https://attack.mitre.org/techniques/T1041/.</w:t>
      </w:r>
    </w:p>
    <w:p>
      <w:pPr>
        <w:keepLines/>
        <w:ind w:left="317" w:hanging="317"/>
      </w:pPr>
      <w:r>
        <w:rPr>
          <w:i w:val="0"/>
          <w:sz w:val="21"/>
        </w:rPr>
        <w:t xml:space="preserve">PRT840 project team 2026a, </w:t>
      </w:r>
      <w:r>
        <w:rPr>
          <w:i/>
          <w:sz w:val="21"/>
        </w:rPr>
        <w:t>CTU-SME-11 Windows VM3 evidence outputs for 22 February 2023 UTC</w:t>
      </w:r>
      <w:r>
        <w:rPr>
          <w:i w:val="0"/>
          <w:sz w:val="21"/>
        </w:rPr>
        <w:t>, unpublished project data, Charles Darwin University. Files: remcosrat_case_summary.json, remcosrat_aggregated_edges.csv, remcosrat_significant_flows.csv and remcosrat_forensic_graph.png; generated with lightweight_forensic_graph.py.</w:t>
      </w:r>
    </w:p>
    <w:p>
      <w:pPr>
        <w:keepLines/>
        <w:ind w:left="317" w:hanging="317"/>
      </w:pPr>
      <w:r>
        <w:rPr>
          <w:i w:val="0"/>
          <w:sz w:val="21"/>
        </w:rPr>
        <w:t xml:space="preserve">PRT840 project team 2026b, </w:t>
      </w:r>
      <w:r>
        <w:rPr>
          <w:i/>
          <w:sz w:val="21"/>
        </w:rPr>
        <w:t>Supervisor meeting minutes</w:t>
      </w:r>
      <w:r>
        <w:rPr>
          <w:i w:val="0"/>
          <w:sz w:val="21"/>
        </w:rPr>
        <w:t>, 17 September, unpublished project record, Charles Darwin University.</w:t>
      </w:r>
    </w:p>
    <w:p>
      <w:pPr>
        <w:keepLines/>
        <w:ind w:left="317" w:hanging="317"/>
      </w:pPr>
      <w:r>
        <w:rPr>
          <w:i w:val="0"/>
          <w:sz w:val="21"/>
        </w:rPr>
        <w:t xml:space="preserve">PRT840 project team 2026c, </w:t>
      </w:r>
      <w:r>
        <w:rPr>
          <w:i/>
          <w:sz w:val="21"/>
        </w:rPr>
        <w:t>VM3 model source and saved evaluation metrics</w:t>
      </w:r>
      <w:r>
        <w:rPr>
          <w:i w:val="0"/>
          <w:sz w:val="21"/>
        </w:rPr>
        <w:t>, scripts 02, 04 and 05, baseline notebook, feature recommendations and chronological DT/calibrated IF metrics, GitHub, branch Vm3-DF+IF, commit 91f682a9510c2e5a79972afb99da9731e42c01e6, viewed 20 September 2026,</w:t>
      </w:r>
      <w:r>
        <w:t xml:space="preserve"> </w:t>
      </w:r>
      <w:hyperlink r:id="rId16">
        <w:r>
          <w:rPr>
            <w:color w:val="14598A"/>
            <w:sz w:val="20"/>
          </w:rPr>
          <w:t>https://github.com/ductri19122001/PRT840/tree/91f682a9510c2e5a79972afb99da9731e42c01e6</w:t>
        </w:r>
      </w:hyperlink>
      <w:r>
        <w:t>.</w:t>
      </w:r>
    </w:p>
    <w:p>
      <w:pPr>
        <w:keepLines/>
        <w:ind w:left="317" w:hanging="317"/>
      </w:pPr>
      <w:pPr/>
      <w:r>
        <w:t>PRT840 project team 2026d, VM3 version 1 reference-selection experiment, 27 September, unpublished project outputs. Archive: experiment_20260927T011638_069908Z.zip. Contains six generations, common evidence, prompts, raw responses, validation records and model metadata.</w:t>
      </w:r>
    </w:p>
    <w:p>
      <w:pPr>
        <w:keepLines/>
        <w:ind w:left="317" w:hanging="317"/>
      </w:pPr>
      <w:pPr/>
      <w:r>
        <w:t>PRT840 project team 2026e, VM3 version 2 evidence-check experiment, 27 September, unpublished project outputs. Archive: experiment_v2_20260927T021420_140728Z.zip. Contains two seed-42 generations with fixed and retrieved references and failed evidence-check records.</w:t>
      </w:r>
    </w:p>
    <w:p>
      <w:pPr>
        <w:keepLines/>
        <w:ind w:left="317" w:hanging="317"/>
      </w:pPr>
      <w:pPr/>
      <w:r>
        <w:rPr>
          <w:sz w:val="19"/>
        </w:rPr>
        <w:t>PRT840 project team 2026f, VM3 version 3 single-technique diagnostic, 27 September, unpublished project outputs. Archive: diagnostic_v3_20260927T081313_811281Z.zip. Contains T1001.003 and T1041 prompts, complete normalised definitions, raw responses, validation records and EXACT_EVIDENCE.md.</w:t>
      </w:r>
    </w:p>
    <w:p>
      <w:pPr>
        <w:keepLines/>
        <w:ind w:left="317" w:hanging="317"/>
      </w:pPr>
      <w:pPr/>
      <w:r>
        <w:rPr>
          <w:sz w:val="19"/>
        </w:rPr>
        <w:t>PRT840 project team 2026g, PRT840 Group 2 weekly meeting minutes, Week 9, 24 September, unpublished project record, Charles Darwin University.</w:t>
      </w:r>
    </w:p>
    <w:p>
      <w:pPr>
        <w:keepLines/>
        <w:ind w:left="317" w:hanging="317"/>
      </w:pPr>
      <w:r>
        <w:rPr>
          <w:i w:val="0"/>
          <w:sz w:val="21"/>
        </w:rPr>
        <w:t xml:space="preserve">Wong, G. 2026, </w:t>
      </w:r>
      <w:r>
        <w:rPr>
          <w:i/>
          <w:sz w:val="21"/>
        </w:rPr>
        <w:t>remcosrat_timeline_chart.csv</w:t>
      </w:r>
      <w:r>
        <w:rPr>
          <w:i w:val="0"/>
          <w:sz w:val="21"/>
        </w:rPr>
        <w:t>, unpublished project data, Charles Darwin University; 96 fifteen-minute bins for 22 February 2023 UTC.</w:t>
      </w:r>
    </w:p>
    <w:p>
      <w:pPr>
        <w:keepLines/>
        <w:ind w:left="317" w:hanging="317"/>
      </w:pPr>
      <w:r>
        <w:rPr>
          <w:i w:val="0"/>
          <w:sz w:val="21"/>
        </w:rPr>
        <w:t xml:space="preserve">Zahid, B.B. 2026, </w:t>
      </w:r>
      <w:r>
        <w:rPr>
          <w:i/>
          <w:sz w:val="21"/>
        </w:rPr>
        <w:t>PRT840 CTI first case package</w:t>
      </w:r>
      <w:r>
        <w:rPr>
          <w:i w:val="0"/>
          <w:sz w:val="21"/>
        </w:rPr>
        <w:t>, unpublished project data and Python script, Charles Darwin University. Files: build_enrichment.py, remcos_endpoint_enriched_flows.csv, remcos_evidence_only_flows.csv, cti_evidence_register.csv and case_daily_summary.csv; register lookup date 16 September 2026.</w:t>
      </w:r>
    </w:p>
    <w:p>
      <w:pPr>
        <w:keepLines/>
        <w:ind w:left="317" w:hanging="317"/>
      </w:pPr>
      <w:r>
        <w:rPr>
          <w:i w:val="0"/>
          <w:sz w:val="21"/>
        </w:rPr>
        <w:t xml:space="preserve">Zeek Project n.d., </w:t>
      </w:r>
      <w:r>
        <w:rPr>
          <w:i/>
          <w:sz w:val="21"/>
        </w:rPr>
        <w:t>Conn::Info</w:t>
      </w:r>
      <w:r>
        <w:rPr>
          <w:i w:val="0"/>
          <w:sz w:val="21"/>
        </w:rPr>
        <w:t>, connection log field and state definitions, viewed 20 September 2026,</w:t>
      </w:r>
      <w:r>
        <w:t xml:space="preserve"> </w:t>
      </w:r>
      <w:hyperlink r:id="rId17">
        <w:r>
          <w:rPr>
            <w:color w:val="14598A"/>
            <w:sz w:val="20"/>
          </w:rPr>
          <w:t>https://docs.zeek.org/en/current/scripts/base/protocols/conn/main.zeek.html</w:t>
        </w:r>
      </w:hyperlink>
      <w:r>
        <w:t>.</w:t>
      </w:r>
    </w:p>
    <w:sectPr w:rsidR="00FC693F" w:rsidRPr="0006063C" w:rsidSect="00034616">
      <w:pgSz w:w="12240" w:h="15840"/>
      <w:pgMar w:top="979" w:right="1224" w:bottom="979" w:left="1224" w:header="720" w:footer="720" w:gutter="0"/>
      <w:cols w:space="720"/>
      <w:docGrid w:linePitch="360"/>
    </w:sectPr>
  </w:body>
</w:document>
</file>

<file path=word/comments.xml><?xml version="1.0" encoding="utf-8"?>
<w:comments xmlns:a="http://schemas.openxmlformats.org/drawingml/2006/main" xmlns:pic="http://schemas.openxmlformats.org/drawingml/2006/picture" xmlns:r="http://schemas.openxmlformats.org/officeDocument/2006/relationships" xmlns:w="http://schemas.openxmlformats.org/wordprocessingml/2006/main" xmlns:wp="http://schemas.openxmlformats.org/drawingml/2006/wordprocessingDrawing" xmlns:mc="http://schemas.openxmlformats.org/markup-compatibility/2006" xmlns:a14="http://schemas.microsoft.com/office/drawing/2010/main" xmlns:w14="http://schemas.microsoft.com/office/word/2010/wordml" xmlns:wpc="http://schemas.microsoft.com/office/word/2010/wordprocessingCanvas">
  <w:comment w:id="0" w:author="Document review" w:initials="DR" w:date="2026-09-27T09:38:41Z">
    <w:p>
      <w:pPr>
        <w:pStyle w:val="CommentText"/>
      </w:pPr>
      <w:r>
        <w:rPr>
          <w:rStyle w:val="CommentReference"/>
        </w:rPr>
        <w:annotationRef/>
      </w:r>
      <w:r>
        <w:t>Added the three development versions run on 27 September 2026. They are separate from Duc's original two-run CTI comparison. Raw outputs are retained and independent team review is pending.</w:t>
      </w:r>
    </w:p>
  </w:comment>
  <w:comment w:id="1" w:author="Document review" w:initials="DR" w:date="2026-09-27T09:38:41Z">
    <w:p>
      <w:pPr>
        <w:pStyle w:val="CommentText"/>
      </w:pPr>
      <w:r>
        <w:rPr>
          <w:rStyle w:val="CommentReference"/>
        </w:rPr>
        <w:annotationRef/>
      </w:r>
      <w:r>
        <w:t>Updated the feature-audit status using the supplied Week 9 minutes. Historical metrics are retained with their original scope; the team should link the updated source and applicable metrics.</w:t>
      </w:r>
    </w:p>
  </w:comment>
</w:comment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9" w:lineRule="auto" w:after="140"/>
    </w:pPr>
    <w:rPr>
      <w:rFonts w:ascii="Calibri" w:hAnsi="Calibri"/>
      <w:b w:val="0"/>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20"/>
      <w:outlineLvl w:val="0"/>
    </w:pPr>
    <w:rPr>
      <w:rFonts w:asciiTheme="majorHAnsi" w:eastAsiaTheme="majorEastAsia" w:hAnsiTheme="majorHAnsi" w:cstheme="majorBidi" w:ascii="Calibri" w:hAnsi="Calibri"/>
      <w:b w:val="0"/>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val="0"/>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60" w:line="240" w:lineRule="auto"/>
      <w:contextualSpacing/>
    </w:pPr>
    <w:rPr>
      <w:rFonts w:asciiTheme="majorHAnsi" w:eastAsiaTheme="majorEastAsia" w:hAnsiTheme="majorHAnsi" w:cstheme="majorBidi" w:ascii="Calibri" w:hAnsi="Calibri"/>
      <w:b w:val="0"/>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b w:val="0"/>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after="140"/>
    </w:pPr>
    <w:rPr>
      <w:rFonts w:ascii="Calibri" w:hAnsi="Calibri"/>
      <w:b w:val="0"/>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bazaar.abuse.ch/sample/08c829e7056b8e022539076acbc962dea072e6506184d4036b785cb0e4592371/" TargetMode="External"/><Relationship Id="rId11" Type="http://schemas.openxmlformats.org/officeDocument/2006/relationships/hyperlink" Target="https://bazaar.abuse.ch/sample/b121d9b4950ef1d71a99bbd8a0f93e71a150ec01f7986b1eebc1c557e9810819/" TargetMode="External"/><Relationship Id="rId12" Type="http://schemas.openxmlformats.org/officeDocument/2006/relationships/hyperlink" Target="https://doi.org/10.5281/zenodo.7958259" TargetMode="External"/><Relationship Id="rId13" Type="http://schemas.openxmlformats.org/officeDocument/2006/relationships/hyperlink" Target="https://github.com/ductri19122001/PRT840/tree/91f682a9510c2e5a79972afb99da9731e42c01e6/outputs/case_studies/LLM" TargetMode="External"/><Relationship Id="rId14" Type="http://schemas.openxmlformats.org/officeDocument/2006/relationships/hyperlink" Target="https://attack.mitre.org/techniques/T1071/004/" TargetMode="External"/><Relationship Id="rId15" Type="http://schemas.openxmlformats.org/officeDocument/2006/relationships/hyperlink" Target="https://attack.mitre.org/techniques/T1046/" TargetMode="External"/><Relationship Id="rId16" Type="http://schemas.openxmlformats.org/officeDocument/2006/relationships/hyperlink" Target="https://github.com/ductri19122001/PRT840/tree/91f682a9510c2e5a79972afb99da9731e42c01e6" TargetMode="External"/><Relationship Id="rId17" Type="http://schemas.openxmlformats.org/officeDocument/2006/relationships/hyperlink" Target="https://docs.zeek.org/en/current/scripts/base/protocols/conn/main.zeek.html" TargetMode="External"/><Relationship Id="rId1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RemcosRAT forensic case study</dc:title>
  <dc:subject>Post-detection CTI enrichment and human assessment of a zero-shot LLM</dc:subject>
  <dc:creator>PRT840 project team</dc:creator>
  <cp:keywords/>
  <dc:description>Updated with the three local LLM development versions completed on 27 September 2026. Independent team review remains pending.</dc:description>
  <cp:lastModifiedBy/>
  <cp:revision>1</cp:revision>
  <dcterms:created xsi:type="dcterms:W3CDTF">2013-12-23T23:15:00Z</dcterms:created>
  <dcterms:modified xsi:type="dcterms:W3CDTF">2026-09-27T09:38:41Z</dcterms:modified>
  <cp:category/>
</cp:coreProperties>
</file>