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RedLineStealer case study evidence and RAG comparison</w:t>
      </w:r>
    </w:p>
    <w:p>
      <w:pPr>
        <w:pStyle w:val="Subtitle"/>
      </w:pPr>
      <w:r>
        <w:t>PRT840 Group 2</w:t>
        <w:br/>
        <w:t>Case Study 2  |  CTU SME 11 Windows VM2</w:t>
        <w:br/>
        <w:t>30 September 2026</w:t>
      </w:r>
    </w:p>
    <w:p>
      <w:pPr>
        <w:pStyle w:val="Heading1"/>
      </w:pPr>
      <w:r>
        <w:t>Study result and scope</w:t>
      </w:r>
    </w:p>
    <w:p>
      <w:r>
        <w:t>This case study reviews 2,755 VM2 network-flow records, the team’s retrospective CTI register and Duc’s saved Ollama response. It also reports one controlled comparison between fixed ATT&amp;CK references and references retrieved from the official Enterprise corpus. Both new runs completed and copied the supplied numerical facts correctly. Neither produced an evidence-supported attack reconstruction or an actionable incident-response playbook. The retrieved result also duplicated a technique and omitted two requested candidates (Duong 2026a, 2026b; PRT840 Group 2 2026).</w:t>
      </w:r>
    </w:p>
    <w:p>
      <w:r>
        <w:t>The case name follows the team’s RedLineStealer investigation. Historical file-to-IP CTI supports investigation of the endpoint; it does not independently establish the malware family in these individual flows. Dataset labels and detector outcomes were withheld from both new prompts. Independent human validation of the mappings remains outstanding.</w:t>
      </w:r>
    </w:p>
    <w:p>
      <w:pPr>
        <w:pStyle w:val="Heading1"/>
      </w:pPr>
      <w:r>
        <w:t>Verified network observations</w:t>
      </w:r>
    </w:p>
    <w:p>
      <w:pPr>
        <w:pStyle w:val="Caption"/>
      </w:pPr>
      <w:r>
        <w:t>Table 1. Recomputed observations from the supplied endpoint CSV (Duong 2026a).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120"/>
      </w:tblGrid>
      <w:tr>
        <w:trPr>
          <w:tblHeader/>
          <w:cantSplit/>
        </w:trPr>
        <w:tc>
          <w:tcPr>
            <w:tcW w:type="dxa" w:w="3672"/>
            <w:vAlign w:val="center"/>
            <w:tcMar>
              <w:top w:w="85" w:type="dxa"/>
              <w:bottom w:w="85" w:type="dxa"/>
              <w:left w:w="100" w:type="dxa"/>
              <w:right w:w="100" w:type="dxa"/>
            </w:tcMar>
            <w:shd w:fill="F2F2F2"/>
          </w:tcPr>
          <w:p>
            <w:pPr>
              <w:spacing w:after="0" w:line="247" w:lineRule="auto"/>
              <w:jc w:val="left"/>
            </w:pPr>
            <w:r>
              <w:rPr>
                <w:b/>
                <w:sz w:val="20"/>
              </w:rPr>
              <w:t>Observation</w:t>
            </w:r>
          </w:p>
        </w:tc>
        <w:tc>
          <w:tcPr>
            <w:tcW w:type="dxa" w:w="6120"/>
            <w:vAlign w:val="center"/>
            <w:tcMar>
              <w:top w:w="85" w:type="dxa"/>
              <w:bottom w:w="85" w:type="dxa"/>
              <w:left w:w="100" w:type="dxa"/>
              <w:right w:w="100" w:type="dxa"/>
            </w:tcMar>
            <w:shd w:fill="F2F2F2"/>
          </w:tcPr>
          <w:p>
            <w:pPr>
              <w:spacing w:after="0" w:line="247" w:lineRule="auto"/>
              <w:jc w:val="left"/>
            </w:pPr>
            <w:r>
              <w:rPr>
                <w:b/>
                <w:sz w:val="20"/>
              </w:rPr>
              <w:t>Verified value</w:t>
            </w:r>
          </w:p>
        </w:tc>
      </w:tr>
      <w:tr>
        <w:trPr>
          <w:cantSplit/>
        </w:trPr>
        <w:tc>
          <w:tcPr>
            <w:tcW w:type="dxa" w:w="3672"/>
            <w:vAlign w:val="center"/>
            <w:tcMar>
              <w:top w:w="85" w:type="dxa"/>
              <w:bottom w:w="85" w:type="dxa"/>
              <w:left w:w="100" w:type="dxa"/>
              <w:right w:w="100" w:type="dxa"/>
            </w:tcMar>
          </w:tcPr>
          <w:p>
            <w:pPr>
              <w:spacing w:after="0" w:line="247" w:lineRule="auto"/>
              <w:jc w:val="left"/>
            </w:pPr>
            <w:r>
              <w:rPr>
                <w:b w:val="0"/>
                <w:sz w:val="20"/>
              </w:rPr>
              <w:t>Selected records and unique connection UIDs</w:t>
            </w:r>
          </w:p>
        </w:tc>
        <w:tc>
          <w:tcPr>
            <w:tcW w:type="dxa" w:w="6120"/>
            <w:vAlign w:val="center"/>
            <w:tcMar>
              <w:top w:w="85" w:type="dxa"/>
              <w:bottom w:w="85" w:type="dxa"/>
              <w:left w:w="100" w:type="dxa"/>
              <w:right w:w="100" w:type="dxa"/>
            </w:tcMar>
          </w:tcPr>
          <w:p>
            <w:pPr>
              <w:spacing w:after="0" w:line="247" w:lineRule="auto"/>
              <w:jc w:val="left"/>
            </w:pPr>
            <w:r>
              <w:rPr>
                <w:b w:val="0"/>
                <w:sz w:val="20"/>
              </w:rPr>
              <w:t>2,755 records; 2,755 unique UIDs</w:t>
            </w:r>
          </w:p>
        </w:tc>
      </w:tr>
      <w:tr>
        <w:trPr>
          <w:cantSplit/>
        </w:trPr>
        <w:tc>
          <w:tcPr>
            <w:tcW w:type="dxa" w:w="3672"/>
            <w:vAlign w:val="center"/>
            <w:tcMar>
              <w:top w:w="85" w:type="dxa"/>
              <w:bottom w:w="85" w:type="dxa"/>
              <w:left w:w="100" w:type="dxa"/>
              <w:right w:w="100" w:type="dxa"/>
            </w:tcMar>
          </w:tcPr>
          <w:p>
            <w:pPr>
              <w:spacing w:after="0" w:line="247" w:lineRule="auto"/>
              <w:jc w:val="left"/>
            </w:pPr>
            <w:r>
              <w:rPr>
                <w:b w:val="0"/>
                <w:sz w:val="20"/>
              </w:rPr>
              <w:t>Endpoint and transport</w:t>
            </w:r>
          </w:p>
        </w:tc>
        <w:tc>
          <w:tcPr>
            <w:tcW w:type="dxa" w:w="6120"/>
            <w:vAlign w:val="center"/>
            <w:tcMar>
              <w:top w:w="85" w:type="dxa"/>
              <w:bottom w:w="85" w:type="dxa"/>
              <w:left w:w="100" w:type="dxa"/>
              <w:right w:w="100" w:type="dxa"/>
            </w:tcMar>
          </w:tcPr>
          <w:p>
            <w:pPr>
              <w:spacing w:after="0" w:line="247" w:lineRule="auto"/>
              <w:jc w:val="left"/>
            </w:pPr>
            <w:r>
              <w:rPr>
                <w:b w:val="0"/>
                <w:sz w:val="20"/>
              </w:rPr>
              <w:t>192.168.1.106 → 4.234.116.12:2567 over TCP</w:t>
            </w:r>
          </w:p>
        </w:tc>
      </w:tr>
      <w:tr>
        <w:trPr>
          <w:cantSplit/>
        </w:trPr>
        <w:tc>
          <w:tcPr>
            <w:tcW w:type="dxa" w:w="3672"/>
            <w:vAlign w:val="center"/>
            <w:tcMar>
              <w:top w:w="85" w:type="dxa"/>
              <w:bottom w:w="85" w:type="dxa"/>
              <w:left w:w="100" w:type="dxa"/>
              <w:right w:w="100" w:type="dxa"/>
            </w:tcMar>
          </w:tcPr>
          <w:p>
            <w:pPr>
              <w:spacing w:after="0" w:line="247" w:lineRule="auto"/>
              <w:jc w:val="left"/>
            </w:pPr>
            <w:r>
              <w:rPr>
                <w:b w:val="0"/>
                <w:sz w:val="20"/>
              </w:rPr>
              <w:t>Connection start-time window UTC</w:t>
            </w:r>
          </w:p>
        </w:tc>
        <w:tc>
          <w:tcPr>
            <w:tcW w:type="dxa" w:w="6120"/>
            <w:vAlign w:val="center"/>
            <w:tcMar>
              <w:top w:w="85" w:type="dxa"/>
              <w:bottom w:w="85" w:type="dxa"/>
              <w:left w:w="100" w:type="dxa"/>
              <w:right w:w="100" w:type="dxa"/>
            </w:tcMar>
          </w:tcPr>
          <w:p>
            <w:pPr>
              <w:spacing w:after="0" w:line="247" w:lineRule="auto"/>
              <w:jc w:val="left"/>
            </w:pPr>
            <w:r>
              <w:rPr>
                <w:b w:val="0"/>
                <w:sz w:val="20"/>
              </w:rPr>
              <w:t>21 February 2023 06:50:05.443686962</w:t>
              <w:br/>
              <w:t>to 22 February 2023 00:01:10.463027</w:t>
            </w:r>
          </w:p>
        </w:tc>
      </w:tr>
      <w:tr>
        <w:trPr>
          <w:cantSplit/>
        </w:trPr>
        <w:tc>
          <w:tcPr>
            <w:tcW w:type="dxa" w:w="3672"/>
            <w:vAlign w:val="center"/>
            <w:tcMar>
              <w:top w:w="85" w:type="dxa"/>
              <w:bottom w:w="85" w:type="dxa"/>
              <w:left w:w="100" w:type="dxa"/>
              <w:right w:w="100" w:type="dxa"/>
            </w:tcMar>
          </w:tcPr>
          <w:p>
            <w:pPr>
              <w:spacing w:after="0" w:line="247" w:lineRule="auto"/>
              <w:jc w:val="left"/>
            </w:pPr>
            <w:r>
              <w:rPr>
                <w:b w:val="0"/>
                <w:sz w:val="20"/>
              </w:rPr>
              <w:t>Connection states</w:t>
            </w:r>
          </w:p>
        </w:tc>
        <w:tc>
          <w:tcPr>
            <w:tcW w:type="dxa" w:w="6120"/>
            <w:vAlign w:val="center"/>
            <w:tcMar>
              <w:top w:w="85" w:type="dxa"/>
              <w:bottom w:w="85" w:type="dxa"/>
              <w:left w:w="100" w:type="dxa"/>
              <w:right w:w="100" w:type="dxa"/>
            </w:tcMar>
          </w:tcPr>
          <w:p>
            <w:pPr>
              <w:spacing w:after="0" w:line="247" w:lineRule="auto"/>
              <w:jc w:val="left"/>
            </w:pPr>
            <w:r>
              <w:rPr>
                <w:b w:val="0"/>
                <w:sz w:val="20"/>
              </w:rPr>
              <w:t>RSTO 2,350; S0 396; S1 5; OTH 4</w:t>
            </w:r>
          </w:p>
        </w:tc>
      </w:tr>
      <w:tr>
        <w:trPr>
          <w:cantSplit/>
        </w:trPr>
        <w:tc>
          <w:tcPr>
            <w:tcW w:type="dxa" w:w="3672"/>
            <w:vAlign w:val="center"/>
            <w:tcMar>
              <w:top w:w="85" w:type="dxa"/>
              <w:bottom w:w="85" w:type="dxa"/>
              <w:left w:w="100" w:type="dxa"/>
              <w:right w:w="100" w:type="dxa"/>
            </w:tcMar>
          </w:tcPr>
          <w:p>
            <w:pPr>
              <w:spacing w:after="0" w:line="247" w:lineRule="auto"/>
              <w:jc w:val="left"/>
            </w:pPr>
            <w:r>
              <w:rPr>
                <w:b w:val="0"/>
                <w:sz w:val="20"/>
              </w:rPr>
              <w:t>Zeek service labels</w:t>
            </w:r>
          </w:p>
        </w:tc>
        <w:tc>
          <w:tcPr>
            <w:tcW w:type="dxa" w:w="6120"/>
            <w:vAlign w:val="center"/>
            <w:tcMar>
              <w:top w:w="85" w:type="dxa"/>
              <w:bottom w:w="85" w:type="dxa"/>
              <w:left w:w="100" w:type="dxa"/>
              <w:right w:w="100" w:type="dxa"/>
            </w:tcMar>
          </w:tcPr>
          <w:p>
            <w:pPr>
              <w:spacing w:after="0" w:line="247" w:lineRule="auto"/>
              <w:jc w:val="left"/>
            </w:pPr>
            <w:r>
              <w:rPr>
                <w:b w:val="0"/>
                <w:sz w:val="20"/>
              </w:rPr>
              <w:t>http 2,358; unset marker “-” 397</w:t>
            </w:r>
          </w:p>
        </w:tc>
      </w:tr>
      <w:tr>
        <w:trPr>
          <w:cantSplit/>
        </w:trPr>
        <w:tc>
          <w:tcPr>
            <w:tcW w:type="dxa" w:w="3672"/>
            <w:vAlign w:val="center"/>
            <w:tcMar>
              <w:top w:w="85" w:type="dxa"/>
              <w:bottom w:w="85" w:type="dxa"/>
              <w:left w:w="100" w:type="dxa"/>
              <w:right w:w="100" w:type="dxa"/>
            </w:tcMar>
          </w:tcPr>
          <w:p>
            <w:pPr>
              <w:spacing w:after="0" w:line="247" w:lineRule="auto"/>
              <w:jc w:val="left"/>
            </w:pPr>
            <w:r>
              <w:rPr>
                <w:b w:val="0"/>
                <w:sz w:val="20"/>
              </w:rPr>
              <w:t>Available payload-byte totals</w:t>
            </w:r>
          </w:p>
        </w:tc>
        <w:tc>
          <w:tcPr>
            <w:tcW w:type="dxa" w:w="6120"/>
            <w:vAlign w:val="center"/>
            <w:tcMar>
              <w:top w:w="85" w:type="dxa"/>
              <w:bottom w:w="85" w:type="dxa"/>
              <w:left w:w="100" w:type="dxa"/>
              <w:right w:w="100" w:type="dxa"/>
            </w:tcMar>
          </w:tcPr>
          <w:p>
            <w:pPr>
              <w:spacing w:after="0" w:line="247" w:lineRule="auto"/>
              <w:jc w:val="left"/>
            </w:pPr>
            <w:r>
              <w:rPr>
                <w:b w:val="0"/>
                <w:sz w:val="20"/>
              </w:rPr>
              <w:t>Originator 885,750; responder 0</w:t>
            </w:r>
          </w:p>
        </w:tc>
      </w:tr>
      <w:tr>
        <w:trPr>
          <w:cantSplit/>
        </w:trPr>
        <w:tc>
          <w:tcPr>
            <w:tcW w:type="dxa" w:w="3672"/>
            <w:vAlign w:val="center"/>
            <w:tcMar>
              <w:top w:w="85" w:type="dxa"/>
              <w:bottom w:w="85" w:type="dxa"/>
              <w:left w:w="100" w:type="dxa"/>
              <w:right w:w="100" w:type="dxa"/>
            </w:tcMar>
          </w:tcPr>
          <w:p>
            <w:pPr>
              <w:spacing w:after="0" w:line="247" w:lineRule="auto"/>
              <w:jc w:val="left"/>
            </w:pPr>
            <w:r>
              <w:rPr>
                <w:b w:val="0"/>
                <w:sz w:val="20"/>
              </w:rPr>
              <w:t>Rows missing each byte field</w:t>
            </w:r>
          </w:p>
        </w:tc>
        <w:tc>
          <w:tcPr>
            <w:tcW w:type="dxa" w:w="6120"/>
            <w:vAlign w:val="center"/>
            <w:tcMar>
              <w:top w:w="85" w:type="dxa"/>
              <w:bottom w:w="85" w:type="dxa"/>
              <w:left w:w="100" w:type="dxa"/>
              <w:right w:w="100" w:type="dxa"/>
            </w:tcMar>
          </w:tcPr>
          <w:p>
            <w:pPr>
              <w:spacing w:after="0" w:line="247" w:lineRule="auto"/>
              <w:jc w:val="left"/>
            </w:pPr>
            <w:r>
              <w:rPr>
                <w:b w:val="0"/>
                <w:sz w:val="20"/>
              </w:rPr>
              <w:t>134 of 2,755 in orig_bytes and in resp_bytes</w:t>
            </w:r>
          </w:p>
        </w:tc>
      </w:tr>
      <w:tr>
        <w:trPr>
          <w:cantSplit/>
        </w:trPr>
        <w:tc>
          <w:tcPr>
            <w:tcW w:type="dxa" w:w="3672"/>
            <w:vAlign w:val="center"/>
            <w:tcMar>
              <w:top w:w="85" w:type="dxa"/>
              <w:bottom w:w="85" w:type="dxa"/>
              <w:left w:w="100" w:type="dxa"/>
              <w:right w:w="100" w:type="dxa"/>
            </w:tcMar>
          </w:tcPr>
          <w:p>
            <w:pPr>
              <w:spacing w:after="0" w:line="247" w:lineRule="auto"/>
              <w:jc w:val="left"/>
            </w:pPr>
            <w:r>
              <w:rPr>
                <w:b w:val="0"/>
                <w:sz w:val="20"/>
              </w:rPr>
              <w:t>Packet totals</w:t>
            </w:r>
          </w:p>
        </w:tc>
        <w:tc>
          <w:tcPr>
            <w:tcW w:type="dxa" w:w="6120"/>
            <w:vAlign w:val="center"/>
            <w:tcMar>
              <w:top w:w="85" w:type="dxa"/>
              <w:bottom w:w="85" w:type="dxa"/>
              <w:left w:w="100" w:type="dxa"/>
              <w:right w:w="100" w:type="dxa"/>
            </w:tcMar>
          </w:tcPr>
          <w:p>
            <w:pPr>
              <w:spacing w:after="0" w:line="247" w:lineRule="auto"/>
              <w:jc w:val="left"/>
            </w:pPr>
            <w:r>
              <w:rPr>
                <w:b w:val="0"/>
                <w:sz w:val="20"/>
              </w:rPr>
              <w:t>Originator 48,257; responder 4,709</w:t>
            </w:r>
          </w:p>
        </w:tc>
      </w:tr>
    </w:tbl>
    <w:p>
      <w:pPr>
        <w:spacing w:after="0"/>
      </w:pPr>
    </w:p>
    <w:p>
      <w:r>
        <w:t>Byte totals sum available values; missing values were not imputed as zero. The zero responder byte sum therefore does not establish no reply or no responder payload across the whole selection. The packet records contain 4,709 responder packets. The source summary’s capture_date names only 21 February, although six rows start on 22 February; the paired prompts use the full observed window.</w:t>
      </w:r>
    </w:p>
    <w:p>
      <w:r>
        <w:br w:type="page"/>
      </w:r>
    </w:p>
    <w:p>
      <w:pPr>
        <w:pStyle w:val="Heading1"/>
      </w:pPr>
      <w:r>
        <w:t>Traffic timing and CTI attribution limits</w:t>
      </w:r>
    </w:p>
    <w:p>
      <w:r>
        <w:t>Figure 1 aggregates connection starts into UTC hours, including the partial first and last hours. It describes when the selected records begin. It is not a measure of simultaneous connections, application requests, transferred files or confirmed C2 beaconing. The supplied endpoint_timeline.csv repeats the original 2,755 flow rows; this hourly series was derived separately (Duong 2026a; PRT840 Group 2 2026).</w:t>
      </w:r>
    </w:p>
    <w:p>
      <w:r>
        <w:drawing>
          <wp:inline xmlns:a="http://schemas.openxmlformats.org/drawingml/2006/main" xmlns:pic="http://schemas.openxmlformats.org/drawingml/2006/picture">
            <wp:extent cx="6217920" cy="2277494"/>
            <wp:docPr id="1" name="Picture 1"/>
            <wp:cNvGraphicFramePr>
              <a:graphicFrameLocks noChangeAspect="1"/>
            </wp:cNvGraphicFramePr>
            <a:graphic>
              <a:graphicData uri="http://schemas.openxmlformats.org/drawingml/2006/picture">
                <pic:pic>
                  <pic:nvPicPr>
                    <pic:cNvPr id="0" name="hourly_flow_starts.png"/>
                    <pic:cNvPicPr/>
                  </pic:nvPicPr>
                  <pic:blipFill>
                    <a:blip r:embed="rId11"/>
                    <a:stretch>
                      <a:fillRect/>
                    </a:stretch>
                  </pic:blipFill>
                  <pic:spPr>
                    <a:xfrm>
                      <a:off x="0" y="0"/>
                      <a:ext cx="6217920" cy="2277494"/>
                    </a:xfrm>
                    <a:prstGeom prst="rect"/>
                  </pic:spPr>
                </pic:pic>
              </a:graphicData>
            </a:graphic>
          </wp:inline>
        </w:drawing>
      </w:r>
    </w:p>
    <w:p>
      <w:pPr>
        <w:pStyle w:val="Caption"/>
      </w:pPr>
      <w:r>
        <w:t>Figure 1. Hourly starts for the selected endpoint. Source: supplied CSV, independently summed to 2,755 starts.</w:t>
      </w:r>
    </w:p>
    <w:p>
      <w:pPr>
        <w:pStyle w:val="Heading2"/>
      </w:pPr>
      <w:r>
        <w:t>Connection semantics</w:t>
      </w:r>
    </w:p>
    <w:p>
      <w:r>
        <w:t>Zeek defines S0 as an attempt with no observed reply, RSTO as an established connection reset by its originator, S1 as established without observed termination and OTH as traffic observed without an initial SYN. These are connection observations. HTTP labels identify protocol parsing, while attacker intent and commands require further evidence. The reviewed input contains no HTTP request fields, hostnames, URIs or payload content (Zeek Project n.d.; MITRE 2026b).</w:t>
      </w:r>
    </w:p>
    <w:p>
      <w:pPr>
        <w:pStyle w:val="Heading2"/>
      </w:pPr>
      <w:r>
        <w:t>Historical CTI context</w:t>
      </w:r>
    </w:p>
    <w:p>
      <w:r>
        <w:t>The team register, retrieved on 22 September 2026, records a VirusTotal communicating-file relationship for 4.234.116.12. It names Netflix Checker New Api.zip, SHA256 83f7de31cf4fa2e65cf9a40143e45272515c7ddaaa47c4957034e636c5f6c0764, with 45 of 64 vendors reporting malicious detections and several using RedLine or RedLineStealer naming. This assessment relies on the saved team record; the live VirusTotal relationship was not independently reverified here (Duong 2026a).</w:t>
      </w:r>
    </w:p>
    <w:p>
      <w:r>
        <w:t>The register contains a separate NO_PORT_SPECIFIC_CTI_MATCH entry for TCP port 2567. Neither entry establishes that the related file generated the selected flows, used this port or compromised VM2. The date 17 February 2023 is described as the related file’s analysis date in the source prompt. It is not established as the publication date or the first date of the IP relationship. Because CTI was retrieved in 2026, the analysis is retrospective.</w:t>
      </w:r>
    </w:p>
    <w:p>
      <w:r>
        <w:br w:type="page"/>
      </w:r>
    </w:p>
    <w:p>
      <w:pPr>
        <w:pStyle w:val="Heading1"/>
      </w:pPr>
      <w:r>
        <w:t>Saved pilot response and controlled comparison</w:t>
      </w:r>
    </w:p>
    <w:p>
      <w:pPr>
        <w:pStyle w:val="Heading2"/>
      </w:pPr>
      <w:r>
        <w:t>Review of the saved pilot</w:t>
      </w:r>
    </w:p>
    <w:p>
      <w:r>
        <w:t>The repository response is now populated with 2,940 bytes at commit f0fe547ba4d67e2ec5de6b900abc39ac9560f5c0. Its run information records 22 September 2026, llama3.1:8b, Ollama 0.34.2 and default generation settings. The response uses prose and a Markdown table rather than the requested JSON. It marks T1071.001 as Supported with Medium confidence, although the prompt supplies no HTTP application content or C2 behaviour. Duc’s own run note already identifies both issues (Duong 2026b).</w:t>
      </w:r>
    </w:p>
    <w:p>
      <w:r>
        <w:t>The pilot reproduces the supplied state counts, byte sums and time bounds. It marks T1105, T1041, T1048.003 and T1046 as Not Supported, but much of its evidence column repeats generic requirements rather than observed case facts. Its proposed next events repeat preconditions, and its response actions remain broad monitoring and investigation instructions. Correct copied facts do not validate the attack mapping.</w:t>
      </w:r>
    </w:p>
    <w:p>
      <w:pPr>
        <w:pStyle w:val="Heading2"/>
      </w:pPr>
      <w:r>
        <w:t>Design of the matched pair</w:t>
      </w:r>
    </w:p>
    <w:p>
      <w:r>
        <w:t>The new pair holds the evidence, instructions, JSON schema, model digest and generation settings constant. The fixed condition uses the five candidate IDs from the pilot. The retrieved condition selects five records through BM25 lexical ranking of official ATT&amp;CK definitions. Only the reference records differ between these two requests (PRT840 Group 2 2026).</w:t>
      </w:r>
    </w:p>
    <w:p>
      <w:pPr>
        <w:pStyle w:val="Caption"/>
      </w:pPr>
      <w:r>
        <w:t>Table 2. Shared settings for the two new runs.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696"/>
      </w:tblGrid>
      <w:tr>
        <w:trPr>
          <w:tblHeader/>
          <w:cantSplit/>
        </w:trPr>
        <w:tc>
          <w:tcPr>
            <w:tcW w:type="dxa" w:w="3096"/>
            <w:vAlign w:val="center"/>
            <w:tcMar>
              <w:top w:w="85" w:type="dxa"/>
              <w:bottom w:w="85" w:type="dxa"/>
              <w:left w:w="100" w:type="dxa"/>
              <w:right w:w="100" w:type="dxa"/>
            </w:tcMar>
            <w:shd w:fill="F2F2F2"/>
          </w:tcPr>
          <w:p>
            <w:pPr>
              <w:spacing w:after="0" w:line="247" w:lineRule="auto"/>
              <w:jc w:val="left"/>
            </w:pPr>
            <w:r>
              <w:rPr>
                <w:b/>
                <w:sz w:val="20"/>
              </w:rPr>
              <w:t>Setting</w:t>
            </w:r>
          </w:p>
        </w:tc>
        <w:tc>
          <w:tcPr>
            <w:tcW w:type="dxa" w:w="6696"/>
            <w:vAlign w:val="center"/>
            <w:tcMar>
              <w:top w:w="85" w:type="dxa"/>
              <w:bottom w:w="85" w:type="dxa"/>
              <w:left w:w="100" w:type="dxa"/>
              <w:right w:w="100" w:type="dxa"/>
            </w:tcMar>
            <w:shd w:fill="F2F2F2"/>
          </w:tcPr>
          <w:p>
            <w:pPr>
              <w:spacing w:after="0" w:line="247" w:lineRule="auto"/>
              <w:jc w:val="left"/>
            </w:pPr>
            <w:r>
              <w:rPr>
                <w:b/>
                <w:sz w:val="20"/>
              </w:rPr>
              <w:t>Value</w:t>
            </w:r>
          </w:p>
        </w:tc>
      </w:tr>
      <w:tr>
        <w:trPr>
          <w:cantSplit/>
        </w:trPr>
        <w:tc>
          <w:tcPr>
            <w:tcW w:type="dxa" w:w="3096"/>
            <w:vAlign w:val="center"/>
            <w:tcMar>
              <w:top w:w="85" w:type="dxa"/>
              <w:bottom w:w="85" w:type="dxa"/>
              <w:left w:w="100" w:type="dxa"/>
              <w:right w:w="100" w:type="dxa"/>
            </w:tcMar>
          </w:tcPr>
          <w:p>
            <w:pPr>
              <w:spacing w:after="0" w:line="247" w:lineRule="auto"/>
              <w:jc w:val="left"/>
            </w:pPr>
            <w:r>
              <w:rPr>
                <w:b w:val="0"/>
                <w:sz w:val="20"/>
              </w:rPr>
              <w:t>Model and runtime</w:t>
            </w:r>
          </w:p>
        </w:tc>
        <w:tc>
          <w:tcPr>
            <w:tcW w:type="dxa" w:w="6696"/>
            <w:vAlign w:val="center"/>
            <w:tcMar>
              <w:top w:w="85" w:type="dxa"/>
              <w:bottom w:w="85" w:type="dxa"/>
              <w:left w:w="100" w:type="dxa"/>
              <w:right w:w="100" w:type="dxa"/>
            </w:tcMar>
          </w:tcPr>
          <w:p>
            <w:pPr>
              <w:spacing w:after="0" w:line="247" w:lineRule="auto"/>
              <w:jc w:val="left"/>
            </w:pPr>
            <w:r>
              <w:rPr>
                <w:b w:val="0"/>
                <w:sz w:val="20"/>
              </w:rPr>
              <w:t>llama3.1:8b, Q4_K_M; Ollama 0.35.0; CPU</w:t>
            </w:r>
          </w:p>
        </w:tc>
      </w:tr>
      <w:tr>
        <w:trPr>
          <w:cantSplit/>
        </w:trPr>
        <w:tc>
          <w:tcPr>
            <w:tcW w:type="dxa" w:w="3096"/>
            <w:vAlign w:val="center"/>
            <w:tcMar>
              <w:top w:w="85" w:type="dxa"/>
              <w:bottom w:w="85" w:type="dxa"/>
              <w:left w:w="100" w:type="dxa"/>
              <w:right w:w="100" w:type="dxa"/>
            </w:tcMar>
          </w:tcPr>
          <w:p>
            <w:pPr>
              <w:spacing w:after="0" w:line="247" w:lineRule="auto"/>
              <w:jc w:val="left"/>
            </w:pPr>
            <w:r>
              <w:rPr>
                <w:b w:val="0"/>
                <w:sz w:val="20"/>
              </w:rPr>
              <w:t>Sampling</w:t>
            </w:r>
          </w:p>
        </w:tc>
        <w:tc>
          <w:tcPr>
            <w:tcW w:type="dxa" w:w="6696"/>
            <w:vAlign w:val="center"/>
            <w:tcMar>
              <w:top w:w="85" w:type="dxa"/>
              <w:bottom w:w="85" w:type="dxa"/>
              <w:left w:w="100" w:type="dxa"/>
              <w:right w:w="100" w:type="dxa"/>
            </w:tcMar>
          </w:tcPr>
          <w:p>
            <w:pPr>
              <w:spacing w:after="0" w:line="247" w:lineRule="auto"/>
              <w:jc w:val="left"/>
            </w:pPr>
            <w:r>
              <w:rPr>
                <w:b w:val="0"/>
                <w:sz w:val="20"/>
              </w:rPr>
              <w:t>One generation per condition; seed 42; temperature 0</w:t>
            </w:r>
          </w:p>
        </w:tc>
      </w:tr>
      <w:tr>
        <w:trPr>
          <w:cantSplit/>
        </w:trPr>
        <w:tc>
          <w:tcPr>
            <w:tcW w:type="dxa" w:w="3096"/>
            <w:vAlign w:val="center"/>
            <w:tcMar>
              <w:top w:w="85" w:type="dxa"/>
              <w:bottom w:w="85" w:type="dxa"/>
              <w:left w:w="100" w:type="dxa"/>
              <w:right w:w="100" w:type="dxa"/>
            </w:tcMar>
          </w:tcPr>
          <w:p>
            <w:pPr>
              <w:spacing w:after="0" w:line="247" w:lineRule="auto"/>
              <w:jc w:val="left"/>
            </w:pPr>
            <w:r>
              <w:rPr>
                <w:b w:val="0"/>
                <w:sz w:val="20"/>
              </w:rPr>
              <w:t>Context and output limits</w:t>
            </w:r>
          </w:p>
        </w:tc>
        <w:tc>
          <w:tcPr>
            <w:tcW w:type="dxa" w:w="6696"/>
            <w:vAlign w:val="center"/>
            <w:tcMar>
              <w:top w:w="85" w:type="dxa"/>
              <w:bottom w:w="85" w:type="dxa"/>
              <w:left w:w="100" w:type="dxa"/>
              <w:right w:w="100" w:type="dxa"/>
            </w:tcMar>
          </w:tcPr>
          <w:p>
            <w:pPr>
              <w:spacing w:after="0" w:line="247" w:lineRule="auto"/>
              <w:jc w:val="left"/>
            </w:pPr>
            <w:r>
              <w:rPr>
                <w:b w:val="0"/>
                <w:sz w:val="20"/>
              </w:rPr>
              <w:t>8,192 context tokens; 2,304 maximum output tokens</w:t>
            </w:r>
          </w:p>
        </w:tc>
      </w:tr>
      <w:tr>
        <w:trPr>
          <w:cantSplit/>
        </w:trPr>
        <w:tc>
          <w:tcPr>
            <w:tcW w:type="dxa" w:w="3096"/>
            <w:vAlign w:val="center"/>
            <w:tcMar>
              <w:top w:w="85" w:type="dxa"/>
              <w:bottom w:w="85" w:type="dxa"/>
              <w:left w:w="100" w:type="dxa"/>
              <w:right w:w="100" w:type="dxa"/>
            </w:tcMar>
          </w:tcPr>
          <w:p>
            <w:pPr>
              <w:spacing w:after="0" w:line="247" w:lineRule="auto"/>
              <w:jc w:val="left"/>
            </w:pPr>
            <w:r>
              <w:rPr>
                <w:b w:val="0"/>
                <w:sz w:val="20"/>
              </w:rPr>
              <w:t>Other explicit options</w:t>
            </w:r>
          </w:p>
        </w:tc>
        <w:tc>
          <w:tcPr>
            <w:tcW w:type="dxa" w:w="6696"/>
            <w:vAlign w:val="center"/>
            <w:tcMar>
              <w:top w:w="85" w:type="dxa"/>
              <w:bottom w:w="85" w:type="dxa"/>
              <w:left w:w="100" w:type="dxa"/>
              <w:right w:w="100" w:type="dxa"/>
            </w:tcMar>
          </w:tcPr>
          <w:p>
            <w:pPr>
              <w:spacing w:after="0" w:line="247" w:lineRule="auto"/>
              <w:jc w:val="left"/>
            </w:pPr>
            <w:r>
              <w:rPr>
                <w:b w:val="0"/>
                <w:sz w:val="20"/>
              </w:rPr>
              <w:t>top_k 40; top_p 0.9; repeat_penalty 1.0;</w:t>
              <w:br/>
              <w:t>num_thread 8; num_batch 64; num_gpu 0</w:t>
            </w:r>
          </w:p>
        </w:tc>
      </w:tr>
      <w:tr>
        <w:trPr>
          <w:cantSplit/>
        </w:trPr>
        <w:tc>
          <w:tcPr>
            <w:tcW w:type="dxa" w:w="3096"/>
            <w:vAlign w:val="center"/>
            <w:tcMar>
              <w:top w:w="85" w:type="dxa"/>
              <w:bottom w:w="85" w:type="dxa"/>
              <w:left w:w="100" w:type="dxa"/>
              <w:right w:w="100" w:type="dxa"/>
            </w:tcMar>
          </w:tcPr>
          <w:p>
            <w:pPr>
              <w:spacing w:after="0" w:line="247" w:lineRule="auto"/>
              <w:jc w:val="left"/>
            </w:pPr>
            <w:r>
              <w:rPr>
                <w:b w:val="0"/>
                <w:sz w:val="20"/>
              </w:rPr>
              <w:t>Output control</w:t>
            </w:r>
          </w:p>
        </w:tc>
        <w:tc>
          <w:tcPr>
            <w:tcW w:type="dxa" w:w="6696"/>
            <w:vAlign w:val="center"/>
            <w:tcMar>
              <w:top w:w="85" w:type="dxa"/>
              <w:bottom w:w="85" w:type="dxa"/>
              <w:left w:w="100" w:type="dxa"/>
              <w:right w:w="100" w:type="dxa"/>
            </w:tcMar>
          </w:tcPr>
          <w:p>
            <w:pPr>
              <w:spacing w:after="0" w:line="247" w:lineRule="auto"/>
              <w:jc w:val="left"/>
            </w:pPr>
            <w:r>
              <w:rPr>
                <w:b w:val="0"/>
                <w:sz w:val="20"/>
              </w:rPr>
              <w:t>Identical JSON schema supplied through the Ollama API</w:t>
            </w:r>
          </w:p>
        </w:tc>
      </w:tr>
      <w:tr>
        <w:trPr>
          <w:cantSplit/>
        </w:trPr>
        <w:tc>
          <w:tcPr>
            <w:tcW w:type="dxa" w:w="3096"/>
            <w:vAlign w:val="center"/>
            <w:tcMar>
              <w:top w:w="85" w:type="dxa"/>
              <w:bottom w:w="85" w:type="dxa"/>
              <w:left w:w="100" w:type="dxa"/>
              <w:right w:w="100" w:type="dxa"/>
            </w:tcMar>
          </w:tcPr>
          <w:p>
            <w:pPr>
              <w:spacing w:after="0" w:line="247" w:lineRule="auto"/>
              <w:jc w:val="left"/>
            </w:pPr>
            <w:r>
              <w:rPr>
                <w:b w:val="0"/>
                <w:sz w:val="20"/>
              </w:rPr>
              <w:t>Execution order</w:t>
            </w:r>
          </w:p>
        </w:tc>
        <w:tc>
          <w:tcPr>
            <w:tcW w:type="dxa" w:w="6696"/>
            <w:vAlign w:val="center"/>
            <w:tcMar>
              <w:top w:w="85" w:type="dxa"/>
              <w:bottom w:w="85" w:type="dxa"/>
              <w:left w:w="100" w:type="dxa"/>
              <w:right w:w="100" w:type="dxa"/>
            </w:tcMar>
          </w:tcPr>
          <w:p>
            <w:pPr>
              <w:spacing w:after="0" w:line="247" w:lineRule="auto"/>
              <w:jc w:val="left"/>
            </w:pPr>
            <w:r>
              <w:rPr>
                <w:b w:val="0"/>
                <w:sz w:val="20"/>
              </w:rPr>
              <w:t>Fixed references, then retrieved references</w:t>
            </w:r>
          </w:p>
        </w:tc>
      </w:tr>
      <w:tr>
        <w:trPr>
          <w:cantSplit/>
        </w:trPr>
        <w:tc>
          <w:tcPr>
            <w:tcW w:type="dxa" w:w="3096"/>
            <w:vAlign w:val="center"/>
            <w:tcMar>
              <w:top w:w="85" w:type="dxa"/>
              <w:bottom w:w="85" w:type="dxa"/>
              <w:left w:w="100" w:type="dxa"/>
              <w:right w:w="100" w:type="dxa"/>
            </w:tcMar>
          </w:tcPr>
          <w:p>
            <w:pPr>
              <w:spacing w:after="0" w:line="247" w:lineRule="auto"/>
              <w:jc w:val="left"/>
            </w:pPr>
            <w:r>
              <w:rPr>
                <w:b w:val="0"/>
                <w:sz w:val="20"/>
              </w:rPr>
              <w:t>Additional evidence versus pilot</w:t>
            </w:r>
          </w:p>
        </w:tc>
        <w:tc>
          <w:tcPr>
            <w:tcW w:type="dxa" w:w="6696"/>
            <w:vAlign w:val="center"/>
            <w:tcMar>
              <w:top w:w="85" w:type="dxa"/>
              <w:bottom w:w="85" w:type="dxa"/>
              <w:left w:w="100" w:type="dxa"/>
              <w:right w:w="100" w:type="dxa"/>
            </w:tcMar>
          </w:tcPr>
          <w:p>
            <w:pPr>
              <w:spacing w:after="0" w:line="247" w:lineRule="auto"/>
              <w:jc w:val="left"/>
            </w:pPr>
            <w:r>
              <w:rPr>
                <w:b w:val="0"/>
                <w:sz w:val="20"/>
              </w:rPr>
              <w:t>Service-label counts, packet counts and missing-byte counts</w:t>
            </w:r>
          </w:p>
        </w:tc>
      </w:tr>
    </w:tbl>
    <w:p>
      <w:pPr>
        <w:spacing w:after="0"/>
      </w:pPr>
    </w:p>
    <w:p>
      <w:r>
        <w:t>The pilot and this pair use different evidence detail, prompt wording, output controls, settings and Ollama versions. A difference between the pilot and either new response cannot isolate a retrieval effect. The second request also benefits from cached prompt processing, so wall-clock duration is descriptive rather than a fair speed benchmark. The API supports schema-constrained output, but a schema checks structure rather than the truth of a claim (Ollama n.d.).</w:t>
      </w:r>
    </w:p>
    <w:p>
      <w:r>
        <w:br w:type="page"/>
      </w:r>
    </w:p>
    <w:p>
      <w:pPr>
        <w:pStyle w:val="Heading1"/>
      </w:pPr>
      <w:r>
        <w:t>Retrieved references and measured results</w:t>
      </w:r>
    </w:p>
    <w:p>
      <w:r>
        <w:t>The pinned corpus contains 697 active Enterprise ATT&amp;CK techniques from version 19.2, STIX 2.1, excluding revoked and deprecated objects. The official source checksum and all normalised records were independently verified. Source commit and checksums are retained in references/corpus_manifest.json. This 2026 reference interprets 2023 evidence retrospectively (MITRE 2026a).</w:t>
      </w:r>
    </w:p>
    <w:p>
      <w:r>
        <w:t>The query “http https web protocols” derives from the observed HTTP service label. HTTPS is a predefined retrieval synonym, not an observed protocol claim. The index uses names, tactics and descriptions with BM25 k1 = 1.5 and b = 0.75. PRE-only techniques are excluded by the same platform rule used in the earlier pipeline. No CTI family name, dataset label or desired technique ID affects the ranking. Each condition receives five official excerpts with the same 1,600-character truncation rule.</w:t>
      </w:r>
    </w:p>
    <w:p>
      <w:pPr>
        <w:pStyle w:val="Caption"/>
      </w:pPr>
      <w:r>
        <w:t>Table 3. Candidate reference sets. Membership denotes retrieval or selection, not detection.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cantSplit/>
        </w:trPr>
        <w:tc>
          <w:tcPr>
            <w:tcW w:type="dxa" w:w="4896"/>
            <w:vAlign w:val="center"/>
            <w:tcMar>
              <w:top w:w="85" w:type="dxa"/>
              <w:bottom w:w="85" w:type="dxa"/>
              <w:left w:w="100" w:type="dxa"/>
              <w:right w:w="100" w:type="dxa"/>
            </w:tcMar>
            <w:shd w:fill="F2F2F2"/>
          </w:tcPr>
          <w:p>
            <w:pPr>
              <w:spacing w:after="0" w:line="247" w:lineRule="auto"/>
              <w:jc w:val="left"/>
            </w:pPr>
            <w:r>
              <w:rPr>
                <w:b/>
                <w:sz w:val="20"/>
              </w:rPr>
              <w:t>Fixed references</w:t>
            </w:r>
          </w:p>
        </w:tc>
        <w:tc>
          <w:tcPr>
            <w:tcW w:type="dxa" w:w="4896"/>
            <w:vAlign w:val="center"/>
            <w:tcMar>
              <w:top w:w="85" w:type="dxa"/>
              <w:bottom w:w="85" w:type="dxa"/>
              <w:left w:w="100" w:type="dxa"/>
              <w:right w:w="100" w:type="dxa"/>
            </w:tcMar>
            <w:shd w:fill="F2F2F2"/>
          </w:tcPr>
          <w:p>
            <w:pPr>
              <w:spacing w:after="0" w:line="247" w:lineRule="auto"/>
              <w:jc w:val="left"/>
            </w:pPr>
            <w:r>
              <w:rPr>
                <w:b/>
                <w:sz w:val="20"/>
              </w:rPr>
              <w:t>Retrieved references</w:t>
            </w:r>
          </w:p>
        </w:tc>
      </w:tr>
      <w:tr>
        <w:trPr>
          <w:cantSplit/>
        </w:trPr>
        <w:tc>
          <w:tcPr>
            <w:tcW w:type="dxa" w:w="4896"/>
            <w:vAlign w:val="center"/>
            <w:tcMar>
              <w:top w:w="85" w:type="dxa"/>
              <w:bottom w:w="85" w:type="dxa"/>
              <w:left w:w="100" w:type="dxa"/>
              <w:right w:w="100" w:type="dxa"/>
            </w:tcMar>
          </w:tcPr>
          <w:p>
            <w:pPr>
              <w:spacing w:after="0" w:line="247" w:lineRule="auto"/>
              <w:jc w:val="left"/>
            </w:pPr>
            <w:r>
              <w:rPr>
                <w:b w:val="0"/>
                <w:sz w:val="20"/>
              </w:rPr>
              <w:t>T1071.001 Web Protocols</w:t>
            </w:r>
          </w:p>
        </w:tc>
        <w:tc>
          <w:tcPr>
            <w:tcW w:type="dxa" w:w="4896"/>
            <w:vAlign w:val="center"/>
            <w:tcMar>
              <w:top w:w="85" w:type="dxa"/>
              <w:bottom w:w="85" w:type="dxa"/>
              <w:left w:w="100" w:type="dxa"/>
              <w:right w:w="100" w:type="dxa"/>
            </w:tcMar>
          </w:tcPr>
          <w:p>
            <w:pPr>
              <w:spacing w:after="0" w:line="247" w:lineRule="auto"/>
              <w:jc w:val="left"/>
            </w:pPr>
            <w:r>
              <w:rPr>
                <w:b w:val="0"/>
                <w:sz w:val="20"/>
              </w:rPr>
              <w:t>T1071.001 Web Protocols</w:t>
            </w:r>
          </w:p>
        </w:tc>
      </w:tr>
      <w:tr>
        <w:trPr>
          <w:cantSplit/>
        </w:trPr>
        <w:tc>
          <w:tcPr>
            <w:tcW w:type="dxa" w:w="4896"/>
            <w:vAlign w:val="center"/>
            <w:tcMar>
              <w:top w:w="85" w:type="dxa"/>
              <w:bottom w:w="85" w:type="dxa"/>
              <w:left w:w="100" w:type="dxa"/>
              <w:right w:w="100" w:type="dxa"/>
            </w:tcMar>
          </w:tcPr>
          <w:p>
            <w:pPr>
              <w:spacing w:after="0" w:line="247" w:lineRule="auto"/>
              <w:jc w:val="left"/>
            </w:pPr>
            <w:r>
              <w:rPr>
                <w:b w:val="0"/>
                <w:sz w:val="20"/>
              </w:rPr>
              <w:t>T1105 Ingress Tool Transfer</w:t>
            </w:r>
          </w:p>
        </w:tc>
        <w:tc>
          <w:tcPr>
            <w:tcW w:type="dxa" w:w="4896"/>
            <w:vAlign w:val="center"/>
            <w:tcMar>
              <w:top w:w="85" w:type="dxa"/>
              <w:bottom w:w="85" w:type="dxa"/>
              <w:left w:w="100" w:type="dxa"/>
              <w:right w:w="100" w:type="dxa"/>
            </w:tcMar>
          </w:tcPr>
          <w:p>
            <w:pPr>
              <w:spacing w:after="0" w:line="247" w:lineRule="auto"/>
              <w:jc w:val="left"/>
            </w:pPr>
            <w:r>
              <w:rPr>
                <w:b w:val="0"/>
                <w:sz w:val="20"/>
              </w:rPr>
              <w:t>T1001.003 Protocol or Service Impersonation</w:t>
            </w:r>
          </w:p>
        </w:tc>
      </w:tr>
      <w:tr>
        <w:trPr>
          <w:cantSplit/>
        </w:trPr>
        <w:tc>
          <w:tcPr>
            <w:tcW w:type="dxa" w:w="4896"/>
            <w:vAlign w:val="center"/>
            <w:tcMar>
              <w:top w:w="85" w:type="dxa"/>
              <w:bottom w:w="85" w:type="dxa"/>
              <w:left w:w="100" w:type="dxa"/>
              <w:right w:w="100" w:type="dxa"/>
            </w:tcMar>
          </w:tcPr>
          <w:p>
            <w:pPr>
              <w:spacing w:after="0" w:line="247" w:lineRule="auto"/>
              <w:jc w:val="left"/>
            </w:pPr>
            <w:r>
              <w:rPr>
                <w:b w:val="0"/>
                <w:sz w:val="20"/>
              </w:rPr>
              <w:t>T1041 Exfiltration Over C2 Channel</w:t>
            </w:r>
          </w:p>
        </w:tc>
        <w:tc>
          <w:tcPr>
            <w:tcW w:type="dxa" w:w="4896"/>
            <w:vAlign w:val="center"/>
            <w:tcMar>
              <w:top w:w="85" w:type="dxa"/>
              <w:bottom w:w="85" w:type="dxa"/>
              <w:left w:w="100" w:type="dxa"/>
              <w:right w:w="100" w:type="dxa"/>
            </w:tcMar>
          </w:tcPr>
          <w:p>
            <w:pPr>
              <w:spacing w:after="0" w:line="247" w:lineRule="auto"/>
              <w:jc w:val="left"/>
            </w:pPr>
            <w:r>
              <w:rPr>
                <w:b w:val="0"/>
                <w:sz w:val="20"/>
              </w:rPr>
              <w:t>T1048.001 Exfiltration Over Symmetric Encrypted Non-C2 Protocol</w:t>
            </w:r>
          </w:p>
        </w:tc>
      </w:tr>
      <w:tr>
        <w:trPr>
          <w:cantSplit/>
        </w:trPr>
        <w:tc>
          <w:tcPr>
            <w:tcW w:type="dxa" w:w="4896"/>
            <w:vAlign w:val="center"/>
            <w:tcMar>
              <w:top w:w="85" w:type="dxa"/>
              <w:bottom w:w="85" w:type="dxa"/>
              <w:left w:w="100" w:type="dxa"/>
              <w:right w:w="100" w:type="dxa"/>
            </w:tcMar>
          </w:tcPr>
          <w:p>
            <w:pPr>
              <w:spacing w:after="0" w:line="247" w:lineRule="auto"/>
              <w:jc w:val="left"/>
            </w:pPr>
            <w:r>
              <w:rPr>
                <w:b w:val="0"/>
                <w:sz w:val="20"/>
              </w:rPr>
              <w:t>T1048.003 Exfiltration Over Unencrypted Non-C2 Protocol</w:t>
            </w:r>
          </w:p>
        </w:tc>
        <w:tc>
          <w:tcPr>
            <w:tcW w:type="dxa" w:w="4896"/>
            <w:vAlign w:val="center"/>
            <w:tcMar>
              <w:top w:w="85" w:type="dxa"/>
              <w:bottom w:w="85" w:type="dxa"/>
              <w:left w:w="100" w:type="dxa"/>
              <w:right w:w="100" w:type="dxa"/>
            </w:tcMar>
          </w:tcPr>
          <w:p>
            <w:pPr>
              <w:spacing w:after="0" w:line="247" w:lineRule="auto"/>
              <w:jc w:val="left"/>
            </w:pPr>
            <w:r>
              <w:rPr>
                <w:b w:val="0"/>
                <w:sz w:val="20"/>
              </w:rPr>
              <w:t>T1090.004 Domain Fronting</w:t>
            </w:r>
          </w:p>
        </w:tc>
      </w:tr>
      <w:tr>
        <w:trPr>
          <w:cantSplit/>
        </w:trPr>
        <w:tc>
          <w:tcPr>
            <w:tcW w:type="dxa" w:w="4896"/>
            <w:vAlign w:val="center"/>
            <w:tcMar>
              <w:top w:w="85" w:type="dxa"/>
              <w:bottom w:w="85" w:type="dxa"/>
              <w:left w:w="100" w:type="dxa"/>
              <w:right w:w="100" w:type="dxa"/>
            </w:tcMar>
          </w:tcPr>
          <w:p>
            <w:pPr>
              <w:spacing w:after="0" w:line="247" w:lineRule="auto"/>
              <w:jc w:val="left"/>
            </w:pPr>
            <w:r>
              <w:rPr>
                <w:b w:val="0"/>
                <w:sz w:val="20"/>
              </w:rPr>
              <w:t>T1046 Network Service Discovery</w:t>
            </w:r>
          </w:p>
        </w:tc>
        <w:tc>
          <w:tcPr>
            <w:tcW w:type="dxa" w:w="4896"/>
            <w:vAlign w:val="center"/>
            <w:tcMar>
              <w:top w:w="85" w:type="dxa"/>
              <w:bottom w:w="85" w:type="dxa"/>
              <w:left w:w="100" w:type="dxa"/>
              <w:right w:w="100" w:type="dxa"/>
            </w:tcMar>
          </w:tcPr>
          <w:p>
            <w:pPr>
              <w:spacing w:after="0" w:line="247" w:lineRule="auto"/>
              <w:jc w:val="left"/>
            </w:pPr>
            <w:r>
              <w:rPr>
                <w:b w:val="0"/>
                <w:sz w:val="20"/>
              </w:rPr>
              <w:t>T1048 Exfiltration Over Alternative Protocol</w:t>
            </w:r>
          </w:p>
        </w:tc>
      </w:tr>
    </w:tbl>
    <w:p>
      <w:pPr>
        <w:spacing w:after="0"/>
      </w:pPr>
    </w:p>
    <w:p>
      <w:pPr>
        <w:pStyle w:val="Caption"/>
      </w:pPr>
      <w:r>
        <w:t>Table 4. Actual paired run results. Format and copying checks are not semantic accuracy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16"/>
        <w:gridCol w:w="2088"/>
        <w:gridCol w:w="2088"/>
      </w:tblGrid>
      <w:tr>
        <w:trPr>
          <w:tblHeader/>
          <w:cantSplit/>
        </w:trPr>
        <w:tc>
          <w:tcPr>
            <w:tcW w:type="dxa" w:w="5616"/>
            <w:vAlign w:val="center"/>
            <w:tcMar>
              <w:top w:w="85" w:type="dxa"/>
              <w:bottom w:w="85" w:type="dxa"/>
              <w:left w:w="100" w:type="dxa"/>
              <w:right w:w="100" w:type="dxa"/>
            </w:tcMar>
            <w:shd w:fill="F2F2F2"/>
          </w:tcPr>
          <w:p>
            <w:pPr>
              <w:spacing w:after="0" w:line="247" w:lineRule="auto"/>
              <w:jc w:val="left"/>
            </w:pPr>
            <w:r>
              <w:rPr>
                <w:b/>
                <w:sz w:val="20"/>
              </w:rPr>
              <w:t>Check or measure</w:t>
            </w:r>
          </w:p>
        </w:tc>
        <w:tc>
          <w:tcPr>
            <w:tcW w:type="dxa" w:w="2088"/>
            <w:vAlign w:val="center"/>
            <w:tcMar>
              <w:top w:w="85" w:type="dxa"/>
              <w:bottom w:w="85" w:type="dxa"/>
              <w:left w:w="100" w:type="dxa"/>
              <w:right w:w="100" w:type="dxa"/>
            </w:tcMar>
            <w:shd w:fill="F2F2F2"/>
          </w:tcPr>
          <w:p>
            <w:pPr>
              <w:spacing w:after="0" w:line="247" w:lineRule="auto"/>
              <w:jc w:val="center"/>
            </w:pPr>
            <w:r>
              <w:rPr>
                <w:b/>
                <w:sz w:val="20"/>
              </w:rPr>
              <w:t>Fixed</w:t>
            </w:r>
          </w:p>
        </w:tc>
        <w:tc>
          <w:tcPr>
            <w:tcW w:type="dxa" w:w="2088"/>
            <w:vAlign w:val="center"/>
            <w:tcMar>
              <w:top w:w="85" w:type="dxa"/>
              <w:bottom w:w="85" w:type="dxa"/>
              <w:left w:w="100" w:type="dxa"/>
              <w:right w:w="100" w:type="dxa"/>
            </w:tcMar>
            <w:shd w:fill="F2F2F2"/>
          </w:tcPr>
          <w:p>
            <w:pPr>
              <w:spacing w:after="0" w:line="247" w:lineRule="auto"/>
              <w:jc w:val="center"/>
            </w:pPr>
            <w:r>
              <w:rPr>
                <w:b/>
                <w:sz w:val="20"/>
              </w:rPr>
              <w:t>Retrieved</w:t>
            </w:r>
          </w:p>
        </w:tc>
      </w:tr>
      <w:tr>
        <w:trPr>
          <w:cantSplit/>
        </w:trPr>
        <w:tc>
          <w:tcPr>
            <w:tcW w:type="dxa" w:w="5616"/>
            <w:vAlign w:val="center"/>
            <w:tcMar>
              <w:top w:w="85" w:type="dxa"/>
              <w:bottom w:w="85" w:type="dxa"/>
              <w:left w:w="100" w:type="dxa"/>
              <w:right w:w="100" w:type="dxa"/>
            </w:tcMar>
          </w:tcPr>
          <w:p>
            <w:pPr>
              <w:spacing w:after="0" w:line="247" w:lineRule="auto"/>
              <w:jc w:val="left"/>
            </w:pPr>
            <w:r>
              <w:rPr>
                <w:b w:val="0"/>
                <w:sz w:val="20"/>
              </w:rPr>
              <w:t>Generation completed normally</w:t>
            </w:r>
          </w:p>
        </w:tc>
        <w:tc>
          <w:tcPr>
            <w:tcW w:type="dxa" w:w="2088"/>
            <w:vAlign w:val="center"/>
            <w:tcMar>
              <w:top w:w="85" w:type="dxa"/>
              <w:bottom w:w="85" w:type="dxa"/>
              <w:left w:w="100" w:type="dxa"/>
              <w:right w:w="100" w:type="dxa"/>
            </w:tcMar>
          </w:tcPr>
          <w:p>
            <w:pPr>
              <w:spacing w:after="0" w:line="247" w:lineRule="auto"/>
              <w:jc w:val="center"/>
            </w:pPr>
            <w:r>
              <w:rPr>
                <w:b w:val="0"/>
                <w:sz w:val="20"/>
              </w:rPr>
              <w:t>Yes</w:t>
            </w:r>
          </w:p>
        </w:tc>
        <w:tc>
          <w:tcPr>
            <w:tcW w:type="dxa" w:w="2088"/>
            <w:vAlign w:val="center"/>
            <w:tcMar>
              <w:top w:w="85" w:type="dxa"/>
              <w:bottom w:w="85" w:type="dxa"/>
              <w:left w:w="100" w:type="dxa"/>
              <w:right w:w="100" w:type="dxa"/>
            </w:tcMar>
          </w:tcPr>
          <w:p>
            <w:pPr>
              <w:spacing w:after="0" w:line="247" w:lineRule="auto"/>
              <w:jc w:val="center"/>
            </w:pPr>
            <w:r>
              <w:rPr>
                <w:b w:val="0"/>
                <w:sz w:val="20"/>
              </w:rPr>
              <w:t>Yes</w:t>
            </w:r>
          </w:p>
        </w:tc>
      </w:tr>
      <w:tr>
        <w:trPr>
          <w:cantSplit/>
        </w:trPr>
        <w:tc>
          <w:tcPr>
            <w:tcW w:type="dxa" w:w="5616"/>
            <w:vAlign w:val="center"/>
            <w:tcMar>
              <w:top w:w="85" w:type="dxa"/>
              <w:bottom w:w="85" w:type="dxa"/>
              <w:left w:w="100" w:type="dxa"/>
              <w:right w:w="100" w:type="dxa"/>
            </w:tcMar>
          </w:tcPr>
          <w:p>
            <w:pPr>
              <w:spacing w:after="0" w:line="247" w:lineRule="auto"/>
              <w:jc w:val="left"/>
            </w:pPr>
            <w:r>
              <w:rPr>
                <w:b w:val="0"/>
                <w:sz w:val="20"/>
              </w:rPr>
              <w:t>Valid JSON and required schema</w:t>
            </w:r>
          </w:p>
        </w:tc>
        <w:tc>
          <w:tcPr>
            <w:tcW w:type="dxa" w:w="2088"/>
            <w:vAlign w:val="center"/>
            <w:tcMar>
              <w:top w:w="85" w:type="dxa"/>
              <w:bottom w:w="85" w:type="dxa"/>
              <w:left w:w="100" w:type="dxa"/>
              <w:right w:w="100" w:type="dxa"/>
            </w:tcMar>
          </w:tcPr>
          <w:p>
            <w:pPr>
              <w:spacing w:after="0" w:line="247" w:lineRule="auto"/>
              <w:jc w:val="center"/>
            </w:pPr>
            <w:r>
              <w:rPr>
                <w:b w:val="0"/>
                <w:sz w:val="20"/>
              </w:rPr>
              <w:t>Pass</w:t>
            </w:r>
          </w:p>
        </w:tc>
        <w:tc>
          <w:tcPr>
            <w:tcW w:type="dxa" w:w="2088"/>
            <w:vAlign w:val="center"/>
            <w:tcMar>
              <w:top w:w="85" w:type="dxa"/>
              <w:bottom w:w="85" w:type="dxa"/>
              <w:left w:w="100" w:type="dxa"/>
              <w:right w:w="100" w:type="dxa"/>
            </w:tcMar>
          </w:tcPr>
          <w:p>
            <w:pPr>
              <w:spacing w:after="0" w:line="247" w:lineRule="auto"/>
              <w:jc w:val="center"/>
            </w:pPr>
            <w:r>
              <w:rPr>
                <w:b w:val="0"/>
                <w:sz w:val="20"/>
              </w:rPr>
              <w:t>Pass</w:t>
            </w:r>
          </w:p>
        </w:tc>
      </w:tr>
      <w:tr>
        <w:trPr>
          <w:cantSplit/>
        </w:trPr>
        <w:tc>
          <w:tcPr>
            <w:tcW w:type="dxa" w:w="5616"/>
            <w:vAlign w:val="center"/>
            <w:tcMar>
              <w:top w:w="85" w:type="dxa"/>
              <w:bottom w:w="85" w:type="dxa"/>
              <w:left w:w="100" w:type="dxa"/>
              <w:right w:w="100" w:type="dxa"/>
            </w:tcMar>
          </w:tcPr>
          <w:p>
            <w:pPr>
              <w:spacing w:after="0" w:line="247" w:lineRule="auto"/>
              <w:jc w:val="left"/>
            </w:pPr>
            <w:r>
              <w:rPr>
                <w:b w:val="0"/>
                <w:sz w:val="20"/>
              </w:rPr>
              <w:t>Exact supplied numerical facts</w:t>
            </w:r>
          </w:p>
        </w:tc>
        <w:tc>
          <w:tcPr>
            <w:tcW w:type="dxa" w:w="2088"/>
            <w:vAlign w:val="center"/>
            <w:tcMar>
              <w:top w:w="85" w:type="dxa"/>
              <w:bottom w:w="85" w:type="dxa"/>
              <w:left w:w="100" w:type="dxa"/>
              <w:right w:w="100" w:type="dxa"/>
            </w:tcMar>
          </w:tcPr>
          <w:p>
            <w:pPr>
              <w:spacing w:after="0" w:line="247" w:lineRule="auto"/>
              <w:jc w:val="center"/>
            </w:pPr>
            <w:r>
              <w:rPr>
                <w:b w:val="0"/>
                <w:sz w:val="20"/>
              </w:rPr>
              <w:t>Pass</w:t>
            </w:r>
          </w:p>
        </w:tc>
        <w:tc>
          <w:tcPr>
            <w:tcW w:type="dxa" w:w="2088"/>
            <w:vAlign w:val="center"/>
            <w:tcMar>
              <w:top w:w="85" w:type="dxa"/>
              <w:bottom w:w="85" w:type="dxa"/>
              <w:left w:w="100" w:type="dxa"/>
              <w:right w:w="100" w:type="dxa"/>
            </w:tcMar>
          </w:tcPr>
          <w:p>
            <w:pPr>
              <w:spacing w:after="0" w:line="247" w:lineRule="auto"/>
              <w:jc w:val="center"/>
            </w:pPr>
            <w:r>
              <w:rPr>
                <w:b w:val="0"/>
                <w:sz w:val="20"/>
              </w:rPr>
              <w:t>Pass</w:t>
            </w:r>
          </w:p>
        </w:tc>
      </w:tr>
      <w:tr>
        <w:trPr>
          <w:cantSplit/>
        </w:trPr>
        <w:tc>
          <w:tcPr>
            <w:tcW w:type="dxa" w:w="5616"/>
            <w:vAlign w:val="center"/>
            <w:tcMar>
              <w:top w:w="85" w:type="dxa"/>
              <w:bottom w:w="85" w:type="dxa"/>
              <w:left w:w="100" w:type="dxa"/>
              <w:right w:w="100" w:type="dxa"/>
            </w:tcMar>
          </w:tcPr>
          <w:p>
            <w:pPr>
              <w:spacing w:after="0" w:line="247" w:lineRule="auto"/>
              <w:jc w:val="left"/>
            </w:pPr>
            <w:r>
              <w:rPr>
                <w:b w:val="0"/>
                <w:sz w:val="20"/>
              </w:rPr>
              <w:t>Each requested technique exactly once</w:t>
            </w:r>
          </w:p>
        </w:tc>
        <w:tc>
          <w:tcPr>
            <w:tcW w:type="dxa" w:w="2088"/>
            <w:vAlign w:val="center"/>
            <w:tcMar>
              <w:top w:w="85" w:type="dxa"/>
              <w:bottom w:w="85" w:type="dxa"/>
              <w:left w:w="100" w:type="dxa"/>
              <w:right w:w="100" w:type="dxa"/>
            </w:tcMar>
          </w:tcPr>
          <w:p>
            <w:pPr>
              <w:spacing w:after="0" w:line="247" w:lineRule="auto"/>
              <w:jc w:val="center"/>
            </w:pPr>
            <w:r>
              <w:rPr>
                <w:b w:val="0"/>
                <w:sz w:val="20"/>
              </w:rPr>
              <w:t>Pass</w:t>
            </w:r>
          </w:p>
        </w:tc>
        <w:tc>
          <w:tcPr>
            <w:tcW w:type="dxa" w:w="2088"/>
            <w:vAlign w:val="center"/>
            <w:tcMar>
              <w:top w:w="85" w:type="dxa"/>
              <w:bottom w:w="85" w:type="dxa"/>
              <w:left w:w="100" w:type="dxa"/>
              <w:right w:w="100" w:type="dxa"/>
            </w:tcMar>
          </w:tcPr>
          <w:p>
            <w:pPr>
              <w:spacing w:after="0" w:line="247" w:lineRule="auto"/>
              <w:jc w:val="center"/>
            </w:pPr>
            <w:r>
              <w:rPr>
                <w:b w:val="0"/>
                <w:sz w:val="20"/>
              </w:rPr>
              <w:t>Fail</w:t>
            </w:r>
          </w:p>
        </w:tc>
      </w:tr>
      <w:tr>
        <w:trPr>
          <w:cantSplit/>
        </w:trPr>
        <w:tc>
          <w:tcPr>
            <w:tcW w:type="dxa" w:w="5616"/>
            <w:vAlign w:val="center"/>
            <w:tcMar>
              <w:top w:w="85" w:type="dxa"/>
              <w:bottom w:w="85" w:type="dxa"/>
              <w:left w:w="100" w:type="dxa"/>
              <w:right w:w="100" w:type="dxa"/>
            </w:tcMar>
          </w:tcPr>
          <w:p>
            <w:pPr>
              <w:spacing w:after="0" w:line="247" w:lineRule="auto"/>
              <w:jc w:val="left"/>
            </w:pPr>
            <w:r>
              <w:rPr>
                <w:b w:val="0"/>
                <w:sz w:val="20"/>
              </w:rPr>
              <w:t>Returned names match requested order</w:t>
            </w:r>
          </w:p>
        </w:tc>
        <w:tc>
          <w:tcPr>
            <w:tcW w:type="dxa" w:w="2088"/>
            <w:vAlign w:val="center"/>
            <w:tcMar>
              <w:top w:w="85" w:type="dxa"/>
              <w:bottom w:w="85" w:type="dxa"/>
              <w:left w:w="100" w:type="dxa"/>
              <w:right w:w="100" w:type="dxa"/>
            </w:tcMar>
          </w:tcPr>
          <w:p>
            <w:pPr>
              <w:spacing w:after="0" w:line="247" w:lineRule="auto"/>
              <w:jc w:val="center"/>
            </w:pPr>
            <w:r>
              <w:rPr>
                <w:b w:val="0"/>
                <w:sz w:val="20"/>
              </w:rPr>
              <w:t>Pass</w:t>
            </w:r>
          </w:p>
        </w:tc>
        <w:tc>
          <w:tcPr>
            <w:tcW w:type="dxa" w:w="2088"/>
            <w:vAlign w:val="center"/>
            <w:tcMar>
              <w:top w:w="85" w:type="dxa"/>
              <w:bottom w:w="85" w:type="dxa"/>
              <w:left w:w="100" w:type="dxa"/>
              <w:right w:w="100" w:type="dxa"/>
            </w:tcMar>
          </w:tcPr>
          <w:p>
            <w:pPr>
              <w:spacing w:after="0" w:line="247" w:lineRule="auto"/>
              <w:jc w:val="center"/>
            </w:pPr>
            <w:r>
              <w:rPr>
                <w:b w:val="0"/>
                <w:sz w:val="20"/>
              </w:rPr>
              <w:t>Fail</w:t>
            </w:r>
          </w:p>
        </w:tc>
      </w:tr>
      <w:tr>
        <w:trPr>
          <w:cantSplit/>
        </w:trPr>
        <w:tc>
          <w:tcPr>
            <w:tcW w:type="dxa" w:w="5616"/>
            <w:vAlign w:val="center"/>
            <w:tcMar>
              <w:top w:w="85" w:type="dxa"/>
              <w:bottom w:w="85" w:type="dxa"/>
              <w:left w:w="100" w:type="dxa"/>
              <w:right w:w="100" w:type="dxa"/>
            </w:tcMar>
          </w:tcPr>
          <w:p>
            <w:pPr>
              <w:spacing w:after="0" w:line="247" w:lineRule="auto"/>
              <w:jc w:val="left"/>
            </w:pPr>
            <w:r>
              <w:rPr>
                <w:b w:val="0"/>
                <w:sz w:val="20"/>
              </w:rPr>
              <w:t>All three response phases present</w:t>
            </w:r>
          </w:p>
        </w:tc>
        <w:tc>
          <w:tcPr>
            <w:tcW w:type="dxa" w:w="2088"/>
            <w:vAlign w:val="center"/>
            <w:tcMar>
              <w:top w:w="85" w:type="dxa"/>
              <w:bottom w:w="85" w:type="dxa"/>
              <w:left w:w="100" w:type="dxa"/>
              <w:right w:w="100" w:type="dxa"/>
            </w:tcMar>
          </w:tcPr>
          <w:p>
            <w:pPr>
              <w:spacing w:after="0" w:line="247" w:lineRule="auto"/>
              <w:jc w:val="center"/>
            </w:pPr>
            <w:r>
              <w:rPr>
                <w:b w:val="0"/>
                <w:sz w:val="20"/>
              </w:rPr>
              <w:t>Pass</w:t>
            </w:r>
          </w:p>
        </w:tc>
        <w:tc>
          <w:tcPr>
            <w:tcW w:type="dxa" w:w="2088"/>
            <w:vAlign w:val="center"/>
            <w:tcMar>
              <w:top w:w="85" w:type="dxa"/>
              <w:bottom w:w="85" w:type="dxa"/>
              <w:left w:w="100" w:type="dxa"/>
              <w:right w:w="100" w:type="dxa"/>
            </w:tcMar>
          </w:tcPr>
          <w:p>
            <w:pPr>
              <w:spacing w:after="0" w:line="247" w:lineRule="auto"/>
              <w:jc w:val="center"/>
            </w:pPr>
            <w:r>
              <w:rPr>
                <w:b w:val="0"/>
                <w:sz w:val="20"/>
              </w:rPr>
              <w:t>Pass</w:t>
            </w:r>
          </w:p>
        </w:tc>
      </w:tr>
      <w:tr>
        <w:trPr>
          <w:cantSplit/>
        </w:trPr>
        <w:tc>
          <w:tcPr>
            <w:tcW w:type="dxa" w:w="5616"/>
            <w:vAlign w:val="center"/>
            <w:tcMar>
              <w:top w:w="85" w:type="dxa"/>
              <w:bottom w:w="85" w:type="dxa"/>
              <w:left w:w="100" w:type="dxa"/>
              <w:right w:w="100" w:type="dxa"/>
            </w:tcMar>
          </w:tcPr>
          <w:p>
            <w:pPr>
              <w:spacing w:after="0" w:line="247" w:lineRule="auto"/>
              <w:jc w:val="left"/>
            </w:pPr>
            <w:r>
              <w:rPr>
                <w:b w:val="0"/>
                <w:sz w:val="20"/>
              </w:rPr>
              <w:t>Prompt tokens / output tokens</w:t>
            </w:r>
          </w:p>
        </w:tc>
        <w:tc>
          <w:tcPr>
            <w:tcW w:type="dxa" w:w="2088"/>
            <w:vAlign w:val="center"/>
            <w:tcMar>
              <w:top w:w="85" w:type="dxa"/>
              <w:bottom w:w="85" w:type="dxa"/>
              <w:left w:w="100" w:type="dxa"/>
              <w:right w:w="100" w:type="dxa"/>
            </w:tcMar>
          </w:tcPr>
          <w:p>
            <w:pPr>
              <w:spacing w:after="0" w:line="247" w:lineRule="auto"/>
              <w:jc w:val="center"/>
            </w:pPr>
            <w:r>
              <w:rPr>
                <w:b w:val="0"/>
                <w:sz w:val="20"/>
              </w:rPr>
              <w:t>2300 / 865</w:t>
            </w:r>
          </w:p>
        </w:tc>
        <w:tc>
          <w:tcPr>
            <w:tcW w:type="dxa" w:w="2088"/>
            <w:vAlign w:val="center"/>
            <w:tcMar>
              <w:top w:w="85" w:type="dxa"/>
              <w:bottom w:w="85" w:type="dxa"/>
              <w:left w:w="100" w:type="dxa"/>
              <w:right w:w="100" w:type="dxa"/>
            </w:tcMar>
          </w:tcPr>
          <w:p>
            <w:pPr>
              <w:spacing w:after="0" w:line="247" w:lineRule="auto"/>
              <w:jc w:val="center"/>
            </w:pPr>
            <w:r>
              <w:rPr>
                <w:b w:val="0"/>
                <w:sz w:val="20"/>
              </w:rPr>
              <w:t>2412 / 1002</w:t>
            </w:r>
          </w:p>
        </w:tc>
      </w:tr>
      <w:tr>
        <w:trPr>
          <w:cantSplit/>
        </w:trPr>
        <w:tc>
          <w:tcPr>
            <w:tcW w:type="dxa" w:w="5616"/>
            <w:vAlign w:val="center"/>
            <w:tcMar>
              <w:top w:w="85" w:type="dxa"/>
              <w:bottom w:w="85" w:type="dxa"/>
              <w:left w:w="100" w:type="dxa"/>
              <w:right w:w="100" w:type="dxa"/>
            </w:tcMar>
          </w:tcPr>
          <w:p>
            <w:pPr>
              <w:spacing w:after="0" w:line="247" w:lineRule="auto"/>
              <w:jc w:val="left"/>
            </w:pPr>
            <w:r>
              <w:rPr>
                <w:b w:val="0"/>
                <w:sz w:val="20"/>
              </w:rPr>
              <w:t>Total API duration</w:t>
            </w:r>
          </w:p>
        </w:tc>
        <w:tc>
          <w:tcPr>
            <w:tcW w:type="dxa" w:w="2088"/>
            <w:vAlign w:val="center"/>
            <w:tcMar>
              <w:top w:w="85" w:type="dxa"/>
              <w:bottom w:w="85" w:type="dxa"/>
              <w:left w:w="100" w:type="dxa"/>
              <w:right w:w="100" w:type="dxa"/>
            </w:tcMar>
          </w:tcPr>
          <w:p>
            <w:pPr>
              <w:spacing w:after="0" w:line="247" w:lineRule="auto"/>
              <w:jc w:val="center"/>
            </w:pPr>
            <w:r>
              <w:rPr>
                <w:b w:val="0"/>
                <w:sz w:val="20"/>
              </w:rPr>
              <w:t>173.2 seconds</w:t>
            </w:r>
          </w:p>
        </w:tc>
        <w:tc>
          <w:tcPr>
            <w:tcW w:type="dxa" w:w="2088"/>
            <w:vAlign w:val="center"/>
            <w:tcMar>
              <w:top w:w="85" w:type="dxa"/>
              <w:bottom w:w="85" w:type="dxa"/>
              <w:left w:w="100" w:type="dxa"/>
              <w:right w:w="100" w:type="dxa"/>
            </w:tcMar>
          </w:tcPr>
          <w:p>
            <w:pPr>
              <w:spacing w:after="0" w:line="247" w:lineRule="auto"/>
              <w:jc w:val="center"/>
            </w:pPr>
            <w:r>
              <w:rPr>
                <w:b w:val="0"/>
                <w:sz w:val="20"/>
              </w:rPr>
              <w:t>150.8 seconds</w:t>
            </w:r>
          </w:p>
        </w:tc>
      </w:tr>
      <w:tr>
        <w:trPr>
          <w:cantSplit/>
        </w:trPr>
        <w:tc>
          <w:tcPr>
            <w:tcW w:type="dxa" w:w="5616"/>
            <w:vAlign w:val="center"/>
            <w:tcMar>
              <w:top w:w="85" w:type="dxa"/>
              <w:bottom w:w="85" w:type="dxa"/>
              <w:left w:w="100" w:type="dxa"/>
              <w:right w:w="100" w:type="dxa"/>
            </w:tcMar>
          </w:tcPr>
          <w:p>
            <w:pPr>
              <w:spacing w:after="0" w:line="247" w:lineRule="auto"/>
              <w:jc w:val="left"/>
            </w:pPr>
            <w:r>
              <w:rPr>
                <w:b w:val="0"/>
                <w:sz w:val="20"/>
              </w:rPr>
              <w:t>C2 claim exceeds supplied evidence</w:t>
            </w:r>
          </w:p>
        </w:tc>
        <w:tc>
          <w:tcPr>
            <w:tcW w:type="dxa" w:w="2088"/>
            <w:vAlign w:val="center"/>
            <w:tcMar>
              <w:top w:w="85" w:type="dxa"/>
              <w:bottom w:w="85" w:type="dxa"/>
              <w:left w:w="100" w:type="dxa"/>
              <w:right w:w="100" w:type="dxa"/>
            </w:tcMar>
          </w:tcPr>
          <w:p>
            <w:pPr>
              <w:spacing w:after="0" w:line="247" w:lineRule="auto"/>
              <w:jc w:val="center"/>
            </w:pPr>
            <w:r>
              <w:rPr>
                <w:b w:val="0"/>
                <w:sz w:val="20"/>
              </w:rPr>
              <w:t>Present</w:t>
            </w:r>
          </w:p>
        </w:tc>
        <w:tc>
          <w:tcPr>
            <w:tcW w:type="dxa" w:w="2088"/>
            <w:vAlign w:val="center"/>
            <w:tcMar>
              <w:top w:w="85" w:type="dxa"/>
              <w:bottom w:w="85" w:type="dxa"/>
              <w:left w:w="100" w:type="dxa"/>
              <w:right w:w="100" w:type="dxa"/>
            </w:tcMar>
          </w:tcPr>
          <w:p>
            <w:pPr>
              <w:spacing w:after="0" w:line="247" w:lineRule="auto"/>
              <w:jc w:val="center"/>
            </w:pPr>
            <w:r>
              <w:rPr>
                <w:b w:val="0"/>
                <w:sz w:val="20"/>
              </w:rPr>
              <w:t>Present</w:t>
            </w:r>
          </w:p>
        </w:tc>
      </w:tr>
    </w:tbl>
    <w:p>
      <w:pPr>
        <w:spacing w:after="0"/>
      </w:pPr>
    </w:p>
    <w:p>
      <w:r>
        <w:t>The retrieved response returns T1048.001 three times. It omits T1090.004 and T1048, yielding three unique IDs out of the five supplied. Both runs have adequate recorded context budget, and both stop normally rather than reaching the output limit. The omissions therefore remain output-compliance failures, not documented truncation effects (PRT840 Group 2 2026).</w:t>
      </w:r>
    </w:p>
    <w:p>
      <w:r>
        <w:br w:type="page"/>
      </w:r>
    </w:p>
    <w:p>
      <w:pPr>
        <w:pStyle w:val="Heading1"/>
      </w:pPr>
      <w:r>
        <w:t>Assessment of the generated mappings and playbooks</w:t>
      </w:r>
    </w:p>
    <w:p>
      <w:r>
        <w:t>Both conditions label T1071.001 as supported with high confidence. Their supporting_observations field contains only “destination_ip”, and missing_behavioural_evidence contains “destination_port”. E01 already supplies both values. Neither field establishes commands or responses carried over web protocols. Even the additional 2,358 HTTP labels support protocol identification rather than C2 purpose; the supported claim should be rejected in its present form (MITRE 2026b; PRT840 Group 2 2026).</w:t>
      </w:r>
    </w:p>
    <w:p>
      <w:pPr>
        <w:pStyle w:val="Caption"/>
      </w:pPr>
      <w:r>
        <w:t>Table 5. Mapping dispositions proposed for independent review. No listed technique is established by this supplied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2376"/>
        <w:gridCol w:w="5328"/>
      </w:tblGrid>
      <w:tr>
        <w:trPr>
          <w:tblHeader/>
          <w:cantSplit/>
        </w:trPr>
        <w:tc>
          <w:tcPr>
            <w:tcW w:type="dxa" w:w="2088"/>
            <w:vAlign w:val="center"/>
            <w:tcMar>
              <w:top w:w="85" w:type="dxa"/>
              <w:bottom w:w="85" w:type="dxa"/>
              <w:left w:w="100" w:type="dxa"/>
              <w:right w:w="100" w:type="dxa"/>
            </w:tcMar>
            <w:shd w:fill="F2F2F2"/>
          </w:tcPr>
          <w:p>
            <w:pPr>
              <w:spacing w:after="0" w:line="247" w:lineRule="auto"/>
              <w:jc w:val="left"/>
            </w:pPr>
            <w:r>
              <w:rPr>
                <w:b/>
                <w:sz w:val="20"/>
              </w:rPr>
              <w:t>Candidate</w:t>
            </w:r>
          </w:p>
        </w:tc>
        <w:tc>
          <w:tcPr>
            <w:tcW w:type="dxa" w:w="2376"/>
            <w:vAlign w:val="center"/>
            <w:tcMar>
              <w:top w:w="85" w:type="dxa"/>
              <w:bottom w:w="85" w:type="dxa"/>
              <w:left w:w="100" w:type="dxa"/>
              <w:right w:w="100" w:type="dxa"/>
            </w:tcMar>
            <w:shd w:fill="F2F2F2"/>
          </w:tcPr>
          <w:p>
            <w:pPr>
              <w:spacing w:after="0" w:line="247" w:lineRule="auto"/>
              <w:jc w:val="left"/>
            </w:pPr>
            <w:r>
              <w:rPr>
                <w:b/>
                <w:sz w:val="20"/>
              </w:rPr>
              <w:t>Model output</w:t>
            </w:r>
          </w:p>
        </w:tc>
        <w:tc>
          <w:tcPr>
            <w:tcW w:type="dxa" w:w="5328"/>
            <w:vAlign w:val="center"/>
            <w:tcMar>
              <w:top w:w="85" w:type="dxa"/>
              <w:bottom w:w="85" w:type="dxa"/>
              <w:left w:w="100" w:type="dxa"/>
              <w:right w:w="100" w:type="dxa"/>
            </w:tcMar>
            <w:shd w:fill="F2F2F2"/>
          </w:tcPr>
          <w:p>
            <w:pPr>
              <w:spacing w:after="0" w:line="247" w:lineRule="auto"/>
              <w:jc w:val="left"/>
            </w:pPr>
            <w:r>
              <w:rPr>
                <w:b/>
                <w:sz w:val="20"/>
              </w:rPr>
              <w:t>Evidence limitation</w:t>
            </w:r>
          </w:p>
        </w:tc>
      </w:tr>
      <w:tr>
        <w:trPr>
          <w:cantSplit/>
        </w:trPr>
        <w:tc>
          <w:tcPr>
            <w:tcW w:type="dxa" w:w="2088"/>
            <w:vAlign w:val="center"/>
            <w:tcMar>
              <w:top w:w="85" w:type="dxa"/>
              <w:bottom w:w="85" w:type="dxa"/>
              <w:left w:w="100" w:type="dxa"/>
              <w:right w:w="100" w:type="dxa"/>
            </w:tcMar>
          </w:tcPr>
          <w:p>
            <w:pPr>
              <w:spacing w:after="0" w:line="247" w:lineRule="auto"/>
              <w:jc w:val="left"/>
            </w:pPr>
            <w:r>
              <w:rPr>
                <w:b w:val="0"/>
                <w:sz w:val="20"/>
              </w:rPr>
              <w:t>T1071.001</w:t>
              <w:br/>
              <w:t>Both conditions</w:t>
            </w:r>
          </w:p>
        </w:tc>
        <w:tc>
          <w:tcPr>
            <w:tcW w:type="dxa" w:w="2376"/>
            <w:vAlign w:val="center"/>
            <w:tcMar>
              <w:top w:w="85" w:type="dxa"/>
              <w:bottom w:w="85" w:type="dxa"/>
              <w:left w:w="100" w:type="dxa"/>
              <w:right w:w="100" w:type="dxa"/>
            </w:tcMar>
          </w:tcPr>
          <w:p>
            <w:pPr>
              <w:spacing w:after="0" w:line="247" w:lineRule="auto"/>
              <w:jc w:val="left"/>
            </w:pPr>
            <w:r>
              <w:rPr>
                <w:b w:val="0"/>
                <w:sz w:val="20"/>
              </w:rPr>
              <w:t>supported, high</w:t>
            </w:r>
          </w:p>
        </w:tc>
        <w:tc>
          <w:tcPr>
            <w:tcW w:type="dxa" w:w="5328"/>
            <w:vAlign w:val="center"/>
            <w:tcMar>
              <w:top w:w="85" w:type="dxa"/>
              <w:bottom w:w="85" w:type="dxa"/>
              <w:left w:w="100" w:type="dxa"/>
              <w:right w:w="100" w:type="dxa"/>
            </w:tcMar>
          </w:tcPr>
          <w:p>
            <w:pPr>
              <w:spacing w:after="0" w:line="247" w:lineRule="auto"/>
              <w:jc w:val="left"/>
            </w:pPr>
            <w:r>
              <w:rPr>
                <w:b w:val="0"/>
                <w:sz w:val="20"/>
              </w:rPr>
              <w:t>HTTP context exists; commands, results and adversary control are not evidenced.</w:t>
            </w:r>
          </w:p>
        </w:tc>
      </w:tr>
      <w:tr>
        <w:trPr>
          <w:cantSplit/>
        </w:trPr>
        <w:tc>
          <w:tcPr>
            <w:tcW w:type="dxa" w:w="2088"/>
            <w:vAlign w:val="center"/>
            <w:tcMar>
              <w:top w:w="85" w:type="dxa"/>
              <w:bottom w:w="85" w:type="dxa"/>
              <w:left w:w="100" w:type="dxa"/>
              <w:right w:w="100" w:type="dxa"/>
            </w:tcMar>
          </w:tcPr>
          <w:p>
            <w:pPr>
              <w:spacing w:after="0" w:line="247" w:lineRule="auto"/>
              <w:jc w:val="left"/>
            </w:pPr>
            <w:r>
              <w:rPr>
                <w:b w:val="0"/>
                <w:sz w:val="20"/>
              </w:rPr>
              <w:t>T1105</w:t>
              <w:br/>
              <w:t>Fixed</w:t>
            </w:r>
          </w:p>
        </w:tc>
        <w:tc>
          <w:tcPr>
            <w:tcW w:type="dxa" w:w="2376"/>
            <w:vAlign w:val="center"/>
            <w:tcMar>
              <w:top w:w="85" w:type="dxa"/>
              <w:bottom w:w="85" w:type="dxa"/>
              <w:left w:w="100" w:type="dxa"/>
              <w:right w:w="100" w:type="dxa"/>
            </w:tcMar>
          </w:tcPr>
          <w:p>
            <w:pPr>
              <w:spacing w:after="0" w:line="247" w:lineRule="auto"/>
              <w:jc w:val="left"/>
            </w:pPr>
            <w:r>
              <w:rPr>
                <w:b w:val="0"/>
                <w:sz w:val="20"/>
              </w:rPr>
              <w:t>possible, low</w:t>
            </w:r>
          </w:p>
        </w:tc>
        <w:tc>
          <w:tcPr>
            <w:tcW w:type="dxa" w:w="5328"/>
            <w:vAlign w:val="center"/>
            <w:tcMar>
              <w:top w:w="85" w:type="dxa"/>
              <w:bottom w:w="85" w:type="dxa"/>
              <w:left w:w="100" w:type="dxa"/>
              <w:right w:w="100" w:type="dxa"/>
            </w:tcMar>
          </w:tcPr>
          <w:p>
            <w:pPr>
              <w:spacing w:after="0" w:line="247" w:lineRule="auto"/>
              <w:jc w:val="left"/>
            </w:pPr>
            <w:r>
              <w:rPr>
                <w:b w:val="0"/>
                <w:sz w:val="20"/>
              </w:rPr>
              <w:t>Timestamps do not establish an inbound file or tool transfer.</w:t>
            </w:r>
          </w:p>
        </w:tc>
      </w:tr>
      <w:tr>
        <w:trPr>
          <w:cantSplit/>
        </w:trPr>
        <w:tc>
          <w:tcPr>
            <w:tcW w:type="dxa" w:w="2088"/>
            <w:vAlign w:val="center"/>
            <w:tcMar>
              <w:top w:w="85" w:type="dxa"/>
              <w:bottom w:w="85" w:type="dxa"/>
              <w:left w:w="100" w:type="dxa"/>
              <w:right w:w="100" w:type="dxa"/>
            </w:tcMar>
          </w:tcPr>
          <w:p>
            <w:pPr>
              <w:spacing w:after="0" w:line="247" w:lineRule="auto"/>
              <w:jc w:val="left"/>
            </w:pPr>
            <w:r>
              <w:rPr>
                <w:b w:val="0"/>
                <w:sz w:val="20"/>
              </w:rPr>
              <w:t>T1041</w:t>
              <w:br/>
              <w:t>Fixed</w:t>
            </w:r>
          </w:p>
        </w:tc>
        <w:tc>
          <w:tcPr>
            <w:tcW w:type="dxa" w:w="2376"/>
            <w:vAlign w:val="center"/>
            <w:tcMar>
              <w:top w:w="85" w:type="dxa"/>
              <w:bottom w:w="85" w:type="dxa"/>
              <w:left w:w="100" w:type="dxa"/>
              <w:right w:w="100" w:type="dxa"/>
            </w:tcMar>
          </w:tcPr>
          <w:p>
            <w:pPr>
              <w:spacing w:after="0" w:line="247" w:lineRule="auto"/>
              <w:jc w:val="left"/>
            </w:pPr>
            <w:r>
              <w:rPr>
                <w:b w:val="0"/>
                <w:sz w:val="20"/>
              </w:rPr>
              <w:t>possible, low</w:t>
            </w:r>
          </w:p>
        </w:tc>
        <w:tc>
          <w:tcPr>
            <w:tcW w:type="dxa" w:w="5328"/>
            <w:vAlign w:val="center"/>
            <w:tcMar>
              <w:top w:w="85" w:type="dxa"/>
              <w:bottom w:w="85" w:type="dxa"/>
              <w:left w:w="100" w:type="dxa"/>
              <w:right w:w="100" w:type="dxa"/>
            </w:tcMar>
          </w:tcPr>
          <w:p>
            <w:pPr>
              <w:spacing w:after="0" w:line="247" w:lineRule="auto"/>
              <w:jc w:val="left"/>
            </w:pPr>
            <w:r>
              <w:rPr>
                <w:b w:val="0"/>
                <w:sz w:val="20"/>
              </w:rPr>
              <w:t>S1 is a connection state, not evidence of exfiltrated data or a verified C2 channel.</w:t>
            </w:r>
          </w:p>
        </w:tc>
      </w:tr>
      <w:tr>
        <w:trPr>
          <w:cantSplit/>
        </w:trPr>
        <w:tc>
          <w:tcPr>
            <w:tcW w:type="dxa" w:w="2088"/>
            <w:vAlign w:val="center"/>
            <w:tcMar>
              <w:top w:w="85" w:type="dxa"/>
              <w:bottom w:w="85" w:type="dxa"/>
              <w:left w:w="100" w:type="dxa"/>
              <w:right w:w="100" w:type="dxa"/>
            </w:tcMar>
          </w:tcPr>
          <w:p>
            <w:pPr>
              <w:spacing w:after="0" w:line="247" w:lineRule="auto"/>
              <w:jc w:val="left"/>
            </w:pPr>
            <w:r>
              <w:rPr>
                <w:b w:val="0"/>
                <w:sz w:val="20"/>
              </w:rPr>
              <w:t>T1048.003</w:t>
              <w:br/>
              <w:t>Fixed</w:t>
            </w:r>
          </w:p>
        </w:tc>
        <w:tc>
          <w:tcPr>
            <w:tcW w:type="dxa" w:w="2376"/>
            <w:vAlign w:val="center"/>
            <w:tcMar>
              <w:top w:w="85" w:type="dxa"/>
              <w:bottom w:w="85" w:type="dxa"/>
              <w:left w:w="100" w:type="dxa"/>
              <w:right w:w="100" w:type="dxa"/>
            </w:tcMar>
          </w:tcPr>
          <w:p>
            <w:pPr>
              <w:spacing w:after="0" w:line="247" w:lineRule="auto"/>
              <w:jc w:val="left"/>
            </w:pPr>
            <w:r>
              <w:rPr>
                <w:b w:val="0"/>
                <w:sz w:val="20"/>
              </w:rPr>
              <w:t>possible, low</w:t>
            </w:r>
          </w:p>
        </w:tc>
        <w:tc>
          <w:tcPr>
            <w:tcW w:type="dxa" w:w="5328"/>
            <w:vAlign w:val="center"/>
            <w:tcMar>
              <w:top w:w="85" w:type="dxa"/>
              <w:bottom w:w="85" w:type="dxa"/>
              <w:left w:w="100" w:type="dxa"/>
              <w:right w:w="100" w:type="dxa"/>
            </w:tcMar>
          </w:tcPr>
          <w:p>
            <w:pPr>
              <w:spacing w:after="0" w:line="247" w:lineRule="auto"/>
              <w:jc w:val="left"/>
            </w:pPr>
            <w:r>
              <w:rPr>
                <w:b w:val="0"/>
                <w:sz w:val="20"/>
              </w:rPr>
              <w:t>Byte counters do not identify stolen data or an unencrypted non-C2 transfer.</w:t>
            </w:r>
          </w:p>
        </w:tc>
      </w:tr>
      <w:tr>
        <w:trPr>
          <w:cantSplit/>
        </w:trPr>
        <w:tc>
          <w:tcPr>
            <w:tcW w:type="dxa" w:w="2088"/>
            <w:vAlign w:val="center"/>
            <w:tcMar>
              <w:top w:w="85" w:type="dxa"/>
              <w:bottom w:w="85" w:type="dxa"/>
              <w:left w:w="100" w:type="dxa"/>
              <w:right w:w="100" w:type="dxa"/>
            </w:tcMar>
          </w:tcPr>
          <w:p>
            <w:pPr>
              <w:spacing w:after="0" w:line="247" w:lineRule="auto"/>
              <w:jc w:val="left"/>
            </w:pPr>
            <w:r>
              <w:rPr>
                <w:b w:val="0"/>
                <w:sz w:val="20"/>
              </w:rPr>
              <w:t>T1046</w:t>
              <w:br/>
              <w:t>Fixed</w:t>
            </w:r>
          </w:p>
        </w:tc>
        <w:tc>
          <w:tcPr>
            <w:tcW w:type="dxa" w:w="2376"/>
            <w:vAlign w:val="center"/>
            <w:tcMar>
              <w:top w:w="85" w:type="dxa"/>
              <w:bottom w:w="85" w:type="dxa"/>
              <w:left w:w="100" w:type="dxa"/>
              <w:right w:w="100" w:type="dxa"/>
            </w:tcMar>
          </w:tcPr>
          <w:p>
            <w:pPr>
              <w:spacing w:after="0" w:line="247" w:lineRule="auto"/>
              <w:jc w:val="left"/>
            </w:pPr>
            <w:r>
              <w:rPr>
                <w:b w:val="0"/>
                <w:sz w:val="20"/>
              </w:rPr>
              <w:t>possible, low</w:t>
            </w:r>
          </w:p>
        </w:tc>
        <w:tc>
          <w:tcPr>
            <w:tcW w:type="dxa" w:w="5328"/>
            <w:vAlign w:val="center"/>
            <w:tcMar>
              <w:top w:w="85" w:type="dxa"/>
              <w:bottom w:w="85" w:type="dxa"/>
              <w:left w:w="100" w:type="dxa"/>
              <w:right w:w="100" w:type="dxa"/>
            </w:tcMar>
          </w:tcPr>
          <w:p>
            <w:pPr>
              <w:spacing w:after="0" w:line="247" w:lineRule="auto"/>
              <w:jc w:val="left"/>
            </w:pPr>
            <w:r>
              <w:rPr>
                <w:b w:val="0"/>
                <w:sz w:val="20"/>
              </w:rPr>
              <w:t>An HTTP label and one selected endpoint do not establish service probing.</w:t>
            </w:r>
          </w:p>
        </w:tc>
      </w:tr>
      <w:tr>
        <w:trPr>
          <w:cantSplit/>
        </w:trPr>
        <w:tc>
          <w:tcPr>
            <w:tcW w:type="dxa" w:w="2088"/>
            <w:vAlign w:val="center"/>
            <w:tcMar>
              <w:top w:w="85" w:type="dxa"/>
              <w:bottom w:w="85" w:type="dxa"/>
              <w:left w:w="100" w:type="dxa"/>
              <w:right w:w="100" w:type="dxa"/>
            </w:tcMar>
          </w:tcPr>
          <w:p>
            <w:pPr>
              <w:spacing w:after="0" w:line="247" w:lineRule="auto"/>
              <w:jc w:val="left"/>
            </w:pPr>
            <w:r>
              <w:rPr>
                <w:b w:val="0"/>
                <w:sz w:val="20"/>
              </w:rPr>
              <w:t>T1001.003</w:t>
              <w:br/>
              <w:t>Retrieved</w:t>
            </w:r>
          </w:p>
        </w:tc>
        <w:tc>
          <w:tcPr>
            <w:tcW w:type="dxa" w:w="2376"/>
            <w:vAlign w:val="center"/>
            <w:tcMar>
              <w:top w:w="85" w:type="dxa"/>
              <w:bottom w:w="85" w:type="dxa"/>
              <w:left w:w="100" w:type="dxa"/>
              <w:right w:w="100" w:type="dxa"/>
            </w:tcMar>
          </w:tcPr>
          <w:p>
            <w:pPr>
              <w:spacing w:after="0" w:line="247" w:lineRule="auto"/>
              <w:jc w:val="left"/>
            </w:pPr>
            <w:r>
              <w:rPr>
                <w:b w:val="0"/>
                <w:sz w:val="20"/>
              </w:rPr>
              <w:t>possible, low</w:t>
            </w:r>
          </w:p>
        </w:tc>
        <w:tc>
          <w:tcPr>
            <w:tcW w:type="dxa" w:w="5328"/>
            <w:vAlign w:val="center"/>
            <w:tcMar>
              <w:top w:w="85" w:type="dxa"/>
              <w:bottom w:w="85" w:type="dxa"/>
              <w:left w:w="100" w:type="dxa"/>
              <w:right w:w="100" w:type="dxa"/>
            </w:tcMar>
          </w:tcPr>
          <w:p>
            <w:pPr>
              <w:spacing w:after="0" w:line="247" w:lineRule="auto"/>
              <w:jc w:val="left"/>
            </w:pPr>
            <w:r>
              <w:rPr>
                <w:b w:val="0"/>
                <w:sz w:val="20"/>
              </w:rPr>
              <w:t>Time bounds do not establish protocol or service impersonation.</w:t>
            </w:r>
          </w:p>
        </w:tc>
      </w:tr>
      <w:tr>
        <w:trPr>
          <w:cantSplit/>
        </w:trPr>
        <w:tc>
          <w:tcPr>
            <w:tcW w:type="dxa" w:w="2088"/>
            <w:vAlign w:val="center"/>
            <w:tcMar>
              <w:top w:w="85" w:type="dxa"/>
              <w:bottom w:w="85" w:type="dxa"/>
              <w:left w:w="100" w:type="dxa"/>
              <w:right w:w="100" w:type="dxa"/>
            </w:tcMar>
          </w:tcPr>
          <w:p>
            <w:pPr>
              <w:spacing w:after="0" w:line="247" w:lineRule="auto"/>
              <w:jc w:val="left"/>
            </w:pPr>
            <w:r>
              <w:rPr>
                <w:b w:val="0"/>
                <w:sz w:val="20"/>
              </w:rPr>
              <w:t>T1048.001</w:t>
              <w:br/>
              <w:t>Retrieved</w:t>
            </w:r>
          </w:p>
        </w:tc>
        <w:tc>
          <w:tcPr>
            <w:tcW w:type="dxa" w:w="2376"/>
            <w:vAlign w:val="center"/>
            <w:tcMar>
              <w:top w:w="85" w:type="dxa"/>
              <w:bottom w:w="85" w:type="dxa"/>
              <w:left w:w="100" w:type="dxa"/>
              <w:right w:w="100" w:type="dxa"/>
            </w:tcMar>
          </w:tcPr>
          <w:p>
            <w:pPr>
              <w:spacing w:after="0" w:line="247" w:lineRule="auto"/>
              <w:jc w:val="left"/>
            </w:pPr>
            <w:r>
              <w:rPr>
                <w:b w:val="0"/>
                <w:sz w:val="20"/>
              </w:rPr>
              <w:t>possible, low;</w:t>
              <w:br/>
              <w:t>three duplicate rows</w:t>
            </w:r>
          </w:p>
        </w:tc>
        <w:tc>
          <w:tcPr>
            <w:tcW w:type="dxa" w:w="5328"/>
            <w:vAlign w:val="center"/>
            <w:tcMar>
              <w:top w:w="85" w:type="dxa"/>
              <w:bottom w:w="85" w:type="dxa"/>
              <w:left w:w="100" w:type="dxa"/>
              <w:right w:w="100" w:type="dxa"/>
            </w:tcMar>
          </w:tcPr>
          <w:p>
            <w:pPr>
              <w:spacing w:after="0" w:line="247" w:lineRule="auto"/>
              <w:jc w:val="left"/>
            </w:pPr>
            <w:r>
              <w:rPr>
                <w:b w:val="0"/>
                <w:sz w:val="20"/>
              </w:rPr>
              <w:t>No content, symmetric encryption or non-C2 exfiltration evidence is supplied.</w:t>
            </w:r>
          </w:p>
        </w:tc>
      </w:tr>
      <w:tr>
        <w:trPr>
          <w:cantSplit/>
        </w:trPr>
        <w:tc>
          <w:tcPr>
            <w:tcW w:type="dxa" w:w="2088"/>
            <w:vAlign w:val="center"/>
            <w:tcMar>
              <w:top w:w="85" w:type="dxa"/>
              <w:bottom w:w="85" w:type="dxa"/>
              <w:left w:w="100" w:type="dxa"/>
              <w:right w:w="100" w:type="dxa"/>
            </w:tcMar>
          </w:tcPr>
          <w:p>
            <w:pPr>
              <w:spacing w:after="0" w:line="247" w:lineRule="auto"/>
              <w:jc w:val="left"/>
            </w:pPr>
            <w:r>
              <w:rPr>
                <w:b w:val="0"/>
                <w:sz w:val="20"/>
              </w:rPr>
              <w:t>T1090.004 and T1048</w:t>
              <w:br/>
              <w:t>Retrieved</w:t>
            </w:r>
          </w:p>
        </w:tc>
        <w:tc>
          <w:tcPr>
            <w:tcW w:type="dxa" w:w="2376"/>
            <w:vAlign w:val="center"/>
            <w:tcMar>
              <w:top w:w="85" w:type="dxa"/>
              <w:bottom w:w="85" w:type="dxa"/>
              <w:left w:w="100" w:type="dxa"/>
              <w:right w:w="100" w:type="dxa"/>
            </w:tcMar>
          </w:tcPr>
          <w:p>
            <w:pPr>
              <w:spacing w:after="0" w:line="247" w:lineRule="auto"/>
              <w:jc w:val="left"/>
            </w:pPr>
            <w:r>
              <w:rPr>
                <w:b w:val="0"/>
                <w:sz w:val="20"/>
              </w:rPr>
              <w:t>Omitted</w:t>
            </w:r>
          </w:p>
        </w:tc>
        <w:tc>
          <w:tcPr>
            <w:tcW w:type="dxa" w:w="5328"/>
            <w:vAlign w:val="center"/>
            <w:tcMar>
              <w:top w:w="85" w:type="dxa"/>
              <w:bottom w:w="85" w:type="dxa"/>
              <w:left w:w="100" w:type="dxa"/>
              <w:right w:w="100" w:type="dxa"/>
            </w:tcMar>
          </w:tcPr>
          <w:p>
            <w:pPr>
              <w:spacing w:after="0" w:line="247" w:lineRule="auto"/>
              <w:jc w:val="left"/>
            </w:pPr>
            <w:r>
              <w:rPr>
                <w:b w:val="0"/>
                <w:sz w:val="20"/>
              </w:rPr>
              <w:t>No model assessment was produced; do not infer a negative finding.</w:t>
            </w:r>
          </w:p>
        </w:tc>
      </w:tr>
    </w:tbl>
    <w:p>
      <w:pPr>
        <w:spacing w:after="0"/>
      </w:pPr>
    </w:p>
    <w:p>
      <w:r>
        <w:t>The possible labels in these outputs also lack a specific observation of the defining behaviour. They should not be promoted to validated findings. Not established from this input is different from disproved in the complete capture. The reference sets differ, so counts of possible labels across conditions are not a comparison of the same five classification decisions.</w:t>
      </w:r>
    </w:p>
    <w:p>
      <w:pPr>
        <w:pStyle w:val="Heading2"/>
      </w:pPr>
      <w:r>
        <w:t>Attack chain and response quality</w:t>
      </w:r>
    </w:p>
    <w:p>
      <w:r>
        <w:t>The fixed output lists service discovery and exfiltration as future events, using “http” and “RSTO” as preconditions. The retrieved output repeats the same new-connection event twice, with the event itself used as its precondition and telemetry. Neither establishes an observed attack-stage sequence or a defensible Cyber Kill Chain reconstruction.</w:t>
      </w:r>
    </w:p>
    <w:p>
      <w:r>
        <w:t>The action fields contain labels such as “Immediate Triage” or “short-term corroboration”, without operational steps. All required phases are present, but their presence does not make the output an actionable playbook. Raw responses are preserved as generated; no correction has been inserted into the model output.</w:t>
      </w:r>
    </w:p>
    <w:p>
      <w:r>
        <w:br w:type="page"/>
      </w:r>
    </w:p>
    <w:p>
      <w:pPr>
        <w:pStyle w:val="Heading1"/>
      </w:pPr>
      <w:r>
        <w:t>Evidence based triage and study limitations</w:t>
      </w:r>
    </w:p>
    <w:p>
      <w:r>
        <w:t>The following guidance is derived from the evidence review. It is separate from the generated action labels, remains subject to analyst judgement and has not been executed.</w:t>
      </w:r>
    </w:p>
    <w:p>
      <w:pPr>
        <w:pStyle w:val="Heading2"/>
      </w:pPr>
      <w:r>
        <w:t>Immediate triage</w:t>
      </w:r>
    </w:p>
    <w:p>
      <w:r>
        <w:t>Confirm the asset represented by 192.168.1.106 and the capture coverage. Correlate connection UIDs with HTTP logs, packet capture and endpoint telemetry to identify the responsible process. Treat the historical IP relationship as an investigative lead. Any containment decision requires current corroboration and the applicable incident-response authority (E01–E06, C01–C02).</w:t>
      </w:r>
    </w:p>
    <w:p>
      <w:pPr>
        <w:pStyle w:val="Heading2"/>
      </w:pPr>
      <w:r>
        <w:t>Corroboration and preservation</w:t>
      </w:r>
    </w:p>
    <w:p>
      <w:r>
        <w:t>Inspect available application content for commands, results or transfer behaviour. Correlate executable hashes and endpoint artefacts with documented threat records before assigning tool-transfer or theft techniques. Preserve original logs, captures, time zones, hashes, CTI retrieval dates, prompts and raw responses. Keep the IP-level relationship separate from the unestablished port-specific match (E02, E04–E06, C01–C02).</w:t>
      </w:r>
    </w:p>
    <w:p>
      <w:pPr>
        <w:pStyle w:val="Heading2"/>
      </w:pPr>
      <w:r>
        <w:t>What this case establishes</w:t>
      </w:r>
    </w:p>
    <w:p>
      <w:r>
        <w:t>The implementation performs local retrieval and preserves matched Ollama requests and responses. Valid JSON and exact numerical copying coexist with unsupported attribution, omitted candidates and unusable response instructions. This pair does not demonstrate an improvement in semantic accuracy from retrieval. One selected endpoint and one generation per condition cannot establish statistical significance, repeatability or performance on unseen traffic.</w:t>
      </w:r>
    </w:p>
    <w:p>
      <w:r>
        <w:t>The source CSV was verified; the capture was not independently re-extracted. The selection does not establish all host activity, detector recall or an end-to-end Decision Tree/Isolation Forest OR alert reaching CTI and the LLM. Historical CTI has not independently validated the withheld dataset label.</w:t>
      </w:r>
    </w:p>
    <w:p>
      <w:pPr>
        <w:pStyle w:val="Heading2"/>
      </w:pPr>
      <w:r>
        <w:t>References</w:t>
      </w:r>
    </w:p>
    <w:p>
      <w:pPr>
        <w:spacing w:after="100"/>
      </w:pPr>
      <w:r>
        <w:rPr>
          <w:sz w:val="18"/>
        </w:rPr>
        <w:t>Duong, DT 2026a, VM2 RedLine CTI endpoint evidence, summary and register, PRT840 repository, branch CTI--Remaining-Results, commit f0fe547ba4d67e2ec5de6b900abc39ac9560f5c0, reviewed 30 September 2026. https://github.com/ductri19122001/PRT840/tree/f0fe547ba4d67e2ec5de6b900abc39ac9560f5c0/CTU-SME-11_Windows7full-2/outputs/case_studies/redline_cti</w:t>
      </w:r>
    </w:p>
    <w:p>
      <w:pPr>
        <w:spacing w:after="100"/>
      </w:pPr>
      <w:r>
        <w:rPr>
          <w:sz w:val="18"/>
        </w:rPr>
        <w:t>Duong, DT 2026b, case002 Ollama prompt, run information and raw response, run dated 22 September 2026, same repository directory and commit as Duong 2026a.</w:t>
      </w:r>
    </w:p>
    <w:p>
      <w:pPr>
        <w:spacing w:after="100"/>
      </w:pPr>
      <w:r>
        <w:rPr>
          <w:sz w:val="18"/>
        </w:rPr>
        <w:t>MITRE 2026a, Enterprise ATT&amp;CK 19.2 STIX 2.1, pinned commit 6cda5ad8462c79e14fbb872f4e09059b18e0cfc4, normalised cache retrieved 26 September 2026; source and checksums in references/corpus_manifest.json. https://github.com/mitre-attack/attack-stix-data</w:t>
      </w:r>
    </w:p>
    <w:p>
      <w:pPr>
        <w:spacing w:after="100"/>
      </w:pPr>
      <w:r>
        <w:rPr>
          <w:sz w:val="18"/>
        </w:rPr>
        <w:t>MITRE 2026b, Application Layer Protocol Web Protocols T1071.001, accessed 30 September 2026. https://attack.mitre.org/techniques/T1071/001/</w:t>
      </w:r>
    </w:p>
    <w:p>
      <w:pPr>
        <w:spacing w:after="100"/>
      </w:pPr>
      <w:r>
        <w:rPr>
          <w:sz w:val="18"/>
        </w:rPr>
        <w:t>Ollama n.d., Generate a response API documentation, accessed 30 September 2026. https://docs.ollama.com/api/generate</w:t>
      </w:r>
    </w:p>
    <w:p>
      <w:pPr>
        <w:spacing w:after="100"/>
      </w:pPr>
      <w:r>
        <w:rPr>
          <w:sz w:val="18"/>
        </w:rPr>
        <w:t>PRT840 Group 2 2026, RedLine fixed and retrieved reference comparison, 30 September 2026, run paired_seed42; source requests, model metadata, raw responses and audits retained in this case package.</w:t>
      </w:r>
    </w:p>
    <w:p>
      <w:pPr>
        <w:spacing w:after="100"/>
      </w:pPr>
      <w:r>
        <w:rPr>
          <w:sz w:val="18"/>
        </w:rPr>
        <w:t>Zeek Project n.d., Conn Info connection-log fields, Book of Zeek, accessed 30 September 2026. https://docs.zeek.org/en/current/scripts/base/protocols/conn/main.zeek.html</w:t>
      </w:r>
    </w:p>
    <w:sectPr w:rsidR="00FC693F" w:rsidRPr="0006063C" w:rsidSect="00034616">
      <w:headerReference w:type="default" r:id="rId9"/>
      <w:footerReference w:type="default" r:id="rId10"/>
      <w:pgSz w:w="12240" w:h="15840"/>
      <w:pgMar w:top="979" w:right="1224" w:bottom="979"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ubtitle"/>
    </w:pPr>
    <w:r>
      <w:t>PRT840  |  Group 2  |  Case Study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RedLineStealer Case Study 2 Evidence and RAG Comparison</dc:title>
  <dc:subject>CTU-SME-11 VM2 endpoint evidence and local llama3.1:8b output review</dc:subject>
  <dc:creator>PRT840 Group 2</dc:creator>
  <cp:keywords/>
  <dc:description/>
  <cp:lastModifiedBy>PRT840 Group 2</cp:lastModifiedBy>
  <cp:revision>1</cp:revision>
  <dcterms:created xsi:type="dcterms:W3CDTF">2013-12-23T23:15:00Z</dcterms:created>
  <dcterms:modified xsi:type="dcterms:W3CDTF">2013-12-23T23:15:00Z</dcterms:modified>
  <cp:category/>
</cp:coreProperties>
</file>