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Chính sách thanh toán</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Phương thức thanh toán</w:t>
      </w:r>
    </w:p>
    <w:p>
      <w:r>
        <w:t xml:space="preserve">Hiện chức năng nạp lượt đang tạm khóa trong thời gian hoàn thiện thủ tục website. Chỉ thanh toán khi chức năng được mở chính thức; không chuyển tiền theo đề nghị ngoài luồng. </w:t>
      </w:r>
    </w:p>
    <w:p>
      <w:r>
        <w:t>Khách hàng thanh toán bằng chuyển khoản ngân hàng hoặc quét VietQR theo thông tin hiển thị tại chức năng nạp lượt. Hệ thống dùng SePay để đối soát giao dịch. Kiểm tra chủ tài khoản, ngân hàng, số tiền và nội dung chuyển khoản trên màn hình trước khi thực hiện. Không chuyển theo số tài khoản được gửi từ người tự xưng hỗ trợ nếu khác thông tin chính thức.</w:t>
      </w:r>
    </w:p>
    <w:p>
      <w:pPr>
        <w:pStyle w:val="Heading1"/>
      </w:pPr>
      <w:r>
        <w:t>2. Quy trình</w:t>
      </w:r>
    </w:p>
    <w:p>
      <w:r>
        <w:t>Đăng nhập đúng tài khoản; chọn gói và kiểm tra số lượt, giá cùng chính sách; mở ứng dụng ngân hàng để quét QR/chuyển khoản; giữ nguyên nội dung nhận diện giao dịch; xác nhận trên ứng dụng ngân hàng; quay lại TAX-HKD kiểm tra số dư lượt và lưu biên nhận. Website không yêu cầu người dùng nhập mật khẩu, OTP hoặc thông tin thẻ ngân hàng.</w:t>
      </w:r>
    </w:p>
    <w:p>
      <w:pPr>
        <w:pStyle w:val="Heading1"/>
      </w:pPr>
      <w:r>
        <w:t>3. Xác nhận thanh toán và cộng lượt</w:t>
      </w:r>
    </w:p>
    <w:p>
      <w:r>
        <w:t>Giao dịch được ghi nhận khi tiền đã vào tài khoản nhận và dữ liệu đối soát xác định được đúng tài khoản người dùng. Tốc độ cộng lượt phụ thuộc ngân hàng và hệ thống đối soát; không coi ảnh biên nhận riêng lẻ là đã hoàn tất cộng lượt. Nếu sau 15 phút chưa thấy số dư thay đổi, gửi mã giao dịch, thời điểm, số tiền và số điện thoại tài khoản cho kênh hỗ trợ; không chuyển lại ngay để tránh trùng.</w:t>
      </w:r>
    </w:p>
    <w:p>
      <w:pPr>
        <w:pStyle w:val="Heading1"/>
      </w:pPr>
      <w:r>
        <w:t>4. Sai hoặc trùng giao dịch</w:t>
      </w:r>
    </w:p>
    <w:p>
      <w:r>
        <w:t>Sai nội dung, thiếu tiền hoặc chuyển thừa được kiểm tra theo dữ liệu thực nhận; TAX-HKD thông báo cách ghi nhận gói hoặc xử lý chênh lệch để khách hàng xác nhận. Khoản thu trùng, thu sai hoặc chưa hình thành giao dịch cung cấp dịch vụ được đối soát riêng, không tự coi toàn bộ là lượt đã sử dụng. Việc xử lý tiền áp dụng chính sách cung cấp, chấm dứt dịch vụ và các nghĩa vụ pháp luật liên quan.</w:t>
      </w:r>
    </w:p>
    <w:p>
      <w:pPr>
        <w:pStyle w:val="Heading1"/>
      </w:pPr>
      <w:r>
        <w:t>5. Chứng từ và liên hệ</w:t>
      </w:r>
    </w:p>
    <w:p>
      <w:r>
        <w:t>Khách hàng lưu biên nhận ngân hàng và thông tin gói mua. Khi cần chứng từ giao dịch hoặc hóa đơn theo trường hợp áp dụng, liên hệ contact@thuehkd.com hoặc 0965.999.594 để cung cấp thông tin cần thiết. TAX-HKD không yêu cầu thanh toán thuế qua tài khoản nạp lượt và không thu hộ tiền thuế cho cơ quan nhà nước.</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TAX-HKD · Chính sách thanh toán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