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bảo mật</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Thông tin và mục đích sử dụng</w:t>
      </w:r>
    </w:p>
    <w:p>
      <w:r>
        <w:t>Thuế HKD xử lý số điện thoại tài khoản, câu hỏi/hội thoại, tệp người dùng gửi, thông tin giao dịch và nhật ký kỹ thuật để xác thực, trả lời AI, quản lý lượt hỏi, đối soát thanh toán và hỗ trợ. Một số lịch sử hoặc tiến độ được lưu trên trình duyệt. Không gửi OTP, mật khẩu ngân hàng hay dữ liệu cá nhân không cần thiết vào chat.</w:t>
      </w:r>
    </w:p>
    <w:p>
      <w:pPr>
        <w:pStyle w:val="Heading1"/>
      </w:pPr>
      <w:r>
        <w:t>2. Bên tiếp nhận và bảo vệ dữ liệu</w:t>
      </w:r>
    </w:p>
    <w:p>
      <w:r>
        <w:t>Dữ liệu cần thiết có thể được xử lý bởi Meta Muse, JEV/FPT, Google Firebase, Cloudflare, SePay và ngân hàng theo chức năng sử dụng; một số nhà cung cấp có thể xử lý ngoài Việt Nam. Thuế HKD không bán dữ liệu, giới hạn người được tiếp cận, áp dụng xác thực, phân quyền và bảo vệ đường truyền; cung cấp thông tin theo yêu cầu hợp pháp của cơ quan có thẩm quyền.</w:t>
      </w:r>
    </w:p>
    <w:p>
      <w:pPr>
        <w:pStyle w:val="Heading1"/>
      </w:pPr>
      <w:r>
        <w:t>3. Lưu trữ và quyền của người dùng</w:t>
      </w:r>
    </w:p>
    <w:p>
      <w:r>
        <w:t>Dữ liệu được lưu trong thời gian cần cho dịch vụ, xử lý yêu cầu và nghĩa vụ pháp luật; dữ liệu không còn cần thiết được xóa hoặc hạn chế xử lý theo yêu cầu hợp lệ. Chứng từ phải lưu theo luật có thể được giữ lại; dữ liệu trình duyệt cần xóa trên thiết bị tương ứng.</w:t>
      </w:r>
    </w:p>
    <w:p>
      <w:r>
        <w:t>Người dùng được yêu cầu biết, truy cập, sửa, xóa, hạn chế xử lý, rút lại sự đồng ý hoặc khiếu nại theo quy định qua email/hotline công bố. Việc xử lý cần căn cứ phù hợp; không coi im lặng là đồng ý cho mục đích mới. Nếu có sự cố hoặc thay đổi cần thông báo/xin đồng ý, Thuế HKD thực hiện theo nghĩa vụ áp dụng.</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Thuế HKD · Chính sách bảo mật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