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Chính sách giá</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Bảng giá</w:t>
      </w:r>
    </w:p>
    <w:p>
      <w:r>
        <w:t>Nạp lượt hiện tạm khóa trong thời gian hoàn thiện thủ tục website; chỉ thanh toán khi chức năng mở chính thức. Bảng giá bằng đồng Việt Nam: 10 lượt — 49.000 đồng; 30 lượt — 99.000 đồng; 100 lượt — 249.000 đồng. Tài khoản mới có 3 lượt trải nghiệm theo điều kiện hệ thống.</w:t>
      </w:r>
    </w:p>
    <w:p>
      <w:pPr>
        <w:pStyle w:val="Heading1"/>
      </w:pPr>
      <w:r>
        <w:t>2. Giá thanh toán và phạm vi</w:t>
      </w:r>
    </w:p>
    <w:p>
      <w:r>
        <w:t>Tổng số tiền phải trả được hiển thị trước khi xác nhận; không thu thêm phí nền tảng ngoài giá công bố. Phí ngân hàng, nếu có, theo biểu phí của ngân hàng. Lượt hỏi là quyền dùng AI, không phải tiền gửi, tiền thuế hay gói sử dụng vô hạn. Dịch vụ riêng/1–1 cần xác nhận phạm vi và giá trước khi giao kết.</w:t>
      </w:r>
    </w:p>
    <w:p>
      <w:pPr>
        <w:pStyle w:val="Heading1"/>
      </w:pPr>
      <w:r>
        <w:t>3. Thay đổi giá và thời hạn sử dụng</w:t>
      </w:r>
    </w:p>
    <w:p>
      <w:r>
        <w:t>Giá mới áp dụng cho giao dịch tiếp theo, không giảm số lượt đã mua. Ưu đãi phải có điều kiện và thời gian công bố rõ ràng. Hiện lượt đã cộng không có ngày hết hạn tự động. Nếu thay đổi hoặc dừng dịch vụ, quyền lợi còn lại được xử lý theo thỏa thuận hợp pháp và quy định áp dụng.</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Thuế HKD · Chính sách giá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