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thanh toán</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Phương thức và quy trình</w:t>
      </w:r>
    </w:p>
    <w:p>
      <w:r>
        <w:t>Chức năng nạp lượt hiện tạm khóa; không chuyển tiền ngoài luồng. Khi mở bán, đăng nhập, chọn gói, kiểm tra giá và thông tin nhận tiền, rồi chuyển khoản/quét VietQR trên ứng dụng ngân hàng; giữ đúng nội dung chuyển khoản và lưu biên nhận. Thuế HKD dùng SePay để đối soát, không yêu cầu mật khẩu/OTP ngân hàng.</w:t>
      </w:r>
    </w:p>
    <w:p>
      <w:pPr>
        <w:pStyle w:val="Heading1"/>
      </w:pPr>
      <w:r>
        <w:t>2. Cộng lượt và sai lệch giao dịch</w:t>
      </w:r>
    </w:p>
    <w:p>
      <w:r>
        <w:t>Lượt được cộng khi tiền thực nhận đã đối soát đúng tài khoản. Nếu sau 15 phút chưa thấy số dư thay đổi, liên hệ hỗ trợ bằng mã giao dịch, số tiền, thời điểm và số điện thoại tài khoản; không chuyển lại ngay. Thiếu/thừa tiền, sai nội dung hoặc giao dịch trùng được đối soát và thông báo cách xử lý, không tự coi là lượt đã sử dụng.</w:t>
      </w:r>
    </w:p>
    <w:p>
      <w:pPr>
        <w:pStyle w:val="Heading1"/>
      </w:pPr>
      <w:r>
        <w:t>3. Chứng từ và hỗ trợ</w:t>
      </w:r>
    </w:p>
    <w:p>
      <w:r>
        <w:t>Giữ biên nhận và thông tin gói mua; yêu cầu chứng từ/hóa đơn theo trường hợp áp dụng qua contact@thuehkd.com hoặc 0965.999.594. Tài khoản nạp lượt không phải tài khoản thu ngân sách; Thuế HKD không thu hộ tiền thuế.</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Thuế HKD · Chính sách thanh toán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