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 xml:space="preserve">Plant Protection Product Evaluation Report</w:t>
      </w:r>
    </w:p>
    <w:p>
      <w:pPr>
        <w:jc w:val="center"/>
      </w:pPr>
      <w:r>
        <w:rPr>
          <w:b/>
        </w:rPr>
        <w:t xml:space="preserve">Fictional Crop Science Authority (FCSA)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Report ID</w:t>
            </w:r>
          </w:p>
        </w:tc>
        <w:tc>
          <w:tcPr>
            <w:tcW w:type="dxa" w:w="5040"/>
          </w:tcPr>
          <w:p>
            <w:r>
              <w:t xml:space="preserve">FCSA-PPR-2026-0042</w:t>
            </w:r>
          </w:p>
        </w:tc>
      </w:tr>
      <w:tr>
        <w:tc>
          <w:tcPr>
            <w:tcW w:type="dxa" w:w="5040"/>
          </w:tcPr>
          <w:p>
            <w:r>
              <w:t>Issued on</w:t>
            </w:r>
          </w:p>
        </w:tc>
        <w:tc>
          <w:tcPr>
            <w:tcW w:type="dxa" w:w="5040"/>
          </w:tcPr>
          <w:p>
            <w:r>
              <w:t xml:space="preserve">2026-04-18</w:t>
            </w:r>
          </w:p>
        </w:tc>
      </w:tr>
      <w:tr>
        <w:tc>
          <w:tcPr>
            <w:tcW w:type="dxa" w:w="5040"/>
          </w:tcPr>
          <w:p>
            <w:r>
              <w:t>Version</w:t>
            </w:r>
          </w:p>
        </w:tc>
        <w:tc>
          <w:tcPr>
            <w:tcW w:type="dxa" w:w="5040"/>
          </w:tcPr>
          <w:p>
            <w:r>
              <w:t xml:space="preserve">1.0</w:t>
            </w:r>
          </w:p>
        </w:tc>
      </w:tr>
      <w:tr>
        <w:tc>
          <w:tcPr>
            <w:tcW w:type="dxa" w:w="5040"/>
          </w:tcPr>
          <w:p>
            <w:r>
              <w:t>Locale</w:t>
            </w:r>
          </w:p>
        </w:tc>
        <w:tc>
          <w:tcPr>
            <w:tcW w:type="dxa" w:w="5040"/>
          </w:tcPr>
          <w:p>
            <w:r>
              <w:t xml:space="preserve">en-EU</w:t>
            </w:r>
          </w:p>
        </w:tc>
      </w:tr>
      <w:tr>
        <w:tc>
          <w:tcPr>
            <w:tcW w:type="dxa" w:w="5040"/>
          </w:tcPr>
          <w:p>
            <w:r>
              <w:t>Classification</w:t>
            </w:r>
          </w:p>
        </w:tc>
        <w:tc>
          <w:tcPr>
            <w:tcW w:type="dxa" w:w="5040"/>
          </w:tcPr>
          <w:p>
            <w:r>
              <w:t xml:space="preserve">INTERNAL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Products assessed</w:t>
            </w:r>
          </w:p>
        </w:tc>
        <w:tc>
          <w:tcPr>
            <w:tcW w:type="dxa" w:w="5040"/>
          </w:tcPr>
          <w:p>
            <w:r>
              <w:t xml:space="preserve">2</w:t>
            </w:r>
          </w:p>
        </w:tc>
      </w:tr>
      <w:tr>
        <w:tc>
          <w:tcPr>
            <w:tcW w:type="dxa" w:w="5040"/>
          </w:tcPr>
          <w:p>
            <w:r>
              <w:t>Conditional approvals</w:t>
            </w:r>
          </w:p>
        </w:tc>
        <w:tc>
          <w:tcPr>
            <w:tcW w:type="dxa" w:w="5040"/>
          </w:tcPr>
          <w:p>
            <w:r>
              <w:t xml:space="preserve">1</w:t>
            </w:r>
          </w:p>
        </w:tc>
      </w:tr>
      <w:tr>
        <w:tc>
          <w:tcPr>
            <w:tcW w:type="dxa" w:w="5040"/>
          </w:tcPr>
          <w:p>
            <w:r>
              <w:t>High-risk products</w:t>
            </w:r>
          </w:p>
        </w:tc>
        <w:tc>
          <w:tcPr>
            <w:tcW w:type="dxa" w:w="5040"/>
          </w:tcPr>
          <w:p>
            <w:r>
              <w:t xml:space="preserve">1</w:t>
            </w:r>
          </w:p>
        </w:tc>
      </w:tr>
      <w:tr>
        <w:tc>
          <w:tcPr>
            <w:tcW w:type="dxa" w:w="5040"/>
          </w:tcPr>
          <w:p>
            <w:r>
              <w:t>Overall average efficacy</w:t>
            </w:r>
          </w:p>
        </w:tc>
        <w:tc>
          <w:tcPr>
            <w:tcW w:type="dxa" w:w="5040"/>
          </w:tcPr>
          <w:p>
            <w:r>
              <w:t xml:space="preserve">86.3%</w:t>
            </w:r>
          </w:p>
        </w:tc>
      </w:tr>
    </w:tbl>
    <w:p>
      <w:r>
        <w:t>This report was generated from structured JSON input after schema validation, business-rule mapping, chart generation, and DOCX template rendering.</w:t>
      </w: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/>
          <w:pgMar w:top="1008" w:right="1080" w:bottom="1008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 xml:space="preserve">AgriShield 250 EC</w:t>
      </w:r>
    </w:p>
    <w:p>
      <w:r>
        <w:t xml:space="preserve">Product ID: FCSA-PROD-AS250</w:t>
      </w:r>
    </w:p>
    <w:p>
      <w:r>
        <w:t xml:space="preserve">Active substance: Fictoxazole (250 g/L)</w:t>
      </w:r>
    </w:p>
    <w:p>
      <w:r>
        <w:t xml:space="preserve">Formulation: EC - Emulsifiable concentrate</w:t>
      </w:r>
    </w:p>
    <w:p>
      <w:r>
        <w:t xml:space="preserve">Manufacturer: Demo CropChem GmbH</w:t>
      </w:r>
    </w:p>
    <w:p>
      <w:r>
        <w:t xml:space="preserve">Germany: Zugelassen gem. PflSchG - Status: conditional. Valid from 2025-01-01 to 2027-12-31.</w:t>
      </w:r>
    </w:p>
    <w:p>
      <w:r>
        <w:t xml:space="preserve">Risk score: 78</w:t>
      </w:r>
    </w:p>
    <w:p>
      <w:r>
        <w:t xml:space="preserve">Applications assessed: 3</w:t>
      </w:r>
    </w:p>
    <w:p>
      <w:r>
        <w:t xml:space="preserve">Average efficacy: 83.7%</w:t>
      </w:r>
    </w:p>
    <w:p>
      <w:r>
        <w:t xml:space="preserve"/>
      </w:r>
    </w:p>
    <w:p>
      <w:r>
        <w:rPr>
          <w:b/>
          <w:color w:val="9C2B2B"/>
        </w:rPr>
        <w:t xml:space="preserve">HIGH RISK NOTICE / HOCHRISIKO-HINWEIS: This product exceeds the high-risk threshold with a risk score of 78. Additional regulatory review is required.</w:t>
      </w:r>
    </w:p>
    <w:p>
      <w:r>
        <w:t xml:space="preserve"/>
      </w:r>
    </w:p>
    <w:p>
      <w:pPr>
        <w:pStyle w:val="Heading2"/>
      </w:pPr>
      <w:r>
        <w:t>Applications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Crop</w:t>
            </w:r>
          </w:p>
        </w:tc>
        <w:tc>
          <w:tcPr>
            <w:tcW w:type="dxa" w:w="1440"/>
          </w:tcPr>
          <w:p>
            <w:r>
              <w:t>Target pest</w:t>
            </w:r>
          </w:p>
        </w:tc>
        <w:tc>
          <w:tcPr>
            <w:tcW w:type="dxa" w:w="1440"/>
          </w:tcPr>
          <w:p>
            <w:r>
              <w:t>BBCH</w:t>
            </w:r>
          </w:p>
        </w:tc>
        <w:tc>
          <w:tcPr>
            <w:tcW w:type="dxa" w:w="1440"/>
          </w:tcPr>
          <w:p>
            <w:r>
              <w:t>Dose</w:t>
            </w:r>
          </w:p>
        </w:tc>
        <w:tc>
          <w:tcPr>
            <w:tcW w:type="dxa" w:w="1440"/>
          </w:tcPr>
          <w:p>
            <w:r>
              <w:t>Max apps</w:t>
            </w:r>
          </w:p>
        </w:tc>
        <w:tc>
          <w:tcPr>
            <w:tcW w:type="dxa" w:w="1440"/>
          </w:tcPr>
          <w:p>
            <w:r>
              <w:t>Efficacy</w:t>
            </w:r>
          </w:p>
        </w:tc>
        <w:tc>
          <w:tcPr>
            <w:tcW w:type="dxa" w:w="1440"/>
          </w:tcPr>
          <w:p>
            <w:r>
              <w:t>PHI days</w:t>
            </w:r>
          </w:p>
        </w:tc>
      </w:tr>
      <w:tr>
        <w:tc>
          <w:tcPr>
            <w:tcW w:type="dxa" w:w="1440"/>
          </w:tcPr>
          <w:p>
            <w:r>
              <w:t xml:space="preserve">Winter wheat</w:t>
            </w:r>
          </w:p>
        </w:tc>
        <w:tc>
          <w:tcPr>
            <w:tcW w:type="dxa" w:w="1440"/>
          </w:tcPr>
          <w:p>
            <w:r>
              <w:t xml:space="preserve">Septoria tritici</w:t>
            </w:r>
          </w:p>
        </w:tc>
        <w:tc>
          <w:tcPr>
            <w:tcW w:type="dxa" w:w="1440"/>
          </w:tcPr>
          <w:p>
            <w:r>
              <w:t xml:space="preserve">31-39</w:t>
            </w:r>
          </w:p>
        </w:tc>
        <w:tc>
          <w:tcPr>
            <w:tcW w:type="dxa" w:w="1440"/>
          </w:tcPr>
          <w:p>
            <w:r>
              <w:t xml:space="preserve">1 L/ha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88%</w:t>
            </w:r>
          </w:p>
        </w:tc>
        <w:tc>
          <w:tcPr>
            <w:tcW w:type="dxa" w:w="1440"/>
          </w:tcPr>
          <w:p>
            <w:r>
              <w:t xml:space="preserve">35</w:t>
            </w:r>
          </w:p>
        </w:tc>
      </w:tr>
      <w:tr>
        <w:tc>
          <w:tcPr>
            <w:tcW w:type="dxa" w:w="1440"/>
          </w:tcPr>
          <w:p>
            <w:r>
              <w:t xml:space="preserve">Winter barley</w:t>
            </w:r>
          </w:p>
        </w:tc>
        <w:tc>
          <w:tcPr>
            <w:tcW w:type="dxa" w:w="1440"/>
          </w:tcPr>
          <w:p>
            <w:r>
              <w:t xml:space="preserve">Ramularia collo-cygni</w:t>
            </w:r>
          </w:p>
        </w:tc>
        <w:tc>
          <w:tcPr>
            <w:tcW w:type="dxa" w:w="1440"/>
          </w:tcPr>
          <w:p>
            <w:r>
              <w:t xml:space="preserve">37-49</w:t>
            </w:r>
          </w:p>
        </w:tc>
        <w:tc>
          <w:tcPr>
            <w:tcW w:type="dxa" w:w="1440"/>
          </w:tcPr>
          <w:p>
            <w:r>
              <w:t xml:space="preserve">1.25 L/ha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84%</w:t>
            </w:r>
          </w:p>
        </w:tc>
        <w:tc>
          <w:tcPr>
            <w:tcW w:type="dxa" w:w="1440"/>
          </w:tcPr>
          <w:p>
            <w:r>
              <w:t xml:space="preserve">35</w:t>
            </w:r>
          </w:p>
        </w:tc>
      </w:tr>
      <w:tr>
        <w:tc>
          <w:tcPr>
            <w:tcW w:type="dxa" w:w="1440"/>
          </w:tcPr>
          <w:p>
            <w:r>
              <w:t xml:space="preserve">Winter oilseed rape</w:t>
            </w:r>
          </w:p>
        </w:tc>
        <w:tc>
          <w:tcPr>
            <w:tcW w:type="dxa" w:w="1440"/>
          </w:tcPr>
          <w:p>
            <w:r>
              <w:t xml:space="preserve">Phoma lingam</w:t>
            </w:r>
          </w:p>
        </w:tc>
        <w:tc>
          <w:tcPr>
            <w:tcW w:type="dxa" w:w="1440"/>
          </w:tcPr>
          <w:p>
            <w:r>
              <w:t xml:space="preserve">14-20</w:t>
            </w:r>
          </w:p>
        </w:tc>
        <w:tc>
          <w:tcPr>
            <w:tcW w:type="dxa" w:w="1440"/>
          </w:tcPr>
          <w:p>
            <w:r>
              <w:t xml:space="preserve">0.8 L/ha</w:t>
            </w:r>
          </w:p>
        </w:tc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79%</w:t>
            </w:r>
          </w:p>
        </w:tc>
        <w:tc>
          <w:tcPr>
            <w:tcW w:type="dxa" w:w="1440"/>
          </w:tcPr>
          <w:p>
            <w:r>
              <w:t xml:space="preserve">56</w:t>
            </w:r>
          </w:p>
        </w:tc>
      </w:tr>
    </w:tbl>
    <w:p>
      <w:pPr>
        <w:pStyle w:val="Heading2"/>
      </w:pPr>
      <w:r>
        <w:t>Risk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Component</w:t>
            </w:r>
          </w:p>
        </w:tc>
        <w:tc>
          <w:tcPr>
            <w:tcW w:type="dxa" w:w="5040"/>
          </w:tcPr>
          <w:p>
            <w:r>
              <w:t>Score</w:t>
            </w:r>
          </w:p>
        </w:tc>
      </w:tr>
      <w:tr>
        <w:tc>
          <w:tcPr>
            <w:tcW w:type="dxa" w:w="5040"/>
          </w:tcPr>
          <w:p>
            <w:r>
              <w:t xml:space="preserve">Human Health</w:t>
            </w:r>
          </w:p>
        </w:tc>
        <w:tc>
          <w:tcPr>
            <w:tcW w:type="dxa" w:w="5040"/>
          </w:tcPr>
          <w:p>
            <w:r>
              <w:t xml:space="preserve">45</w:t>
            </w:r>
          </w:p>
        </w:tc>
      </w:tr>
      <w:tr>
        <w:tc>
          <w:tcPr>
            <w:tcW w:type="dxa" w:w="5040"/>
          </w:tcPr>
          <w:p>
            <w:r>
              <w:t xml:space="preserve">Ecotoxicology</w:t>
            </w:r>
          </w:p>
        </w:tc>
        <w:tc>
          <w:tcPr>
            <w:tcW w:type="dxa" w:w="5040"/>
          </w:tcPr>
          <w:p>
            <w:r>
              <w:t xml:space="preserve">82</w:t>
            </w:r>
          </w:p>
        </w:tc>
      </w:tr>
      <w:tr>
        <w:tc>
          <w:tcPr>
            <w:tcW w:type="dxa" w:w="5040"/>
          </w:tcPr>
          <w:p>
            <w:r>
              <w:t xml:space="preserve">Environmental Fate</w:t>
            </w:r>
          </w:p>
        </w:tc>
        <w:tc>
          <w:tcPr>
            <w:tcW w:type="dxa" w:w="5040"/>
          </w:tcPr>
          <w:p>
            <w:r>
              <w:t xml:space="preserve">78</w:t>
            </w:r>
          </w:p>
        </w:tc>
      </w:tr>
      <w:tr>
        <w:tc>
          <w:tcPr>
            <w:tcW w:type="dxa" w:w="5040"/>
          </w:tcPr>
          <w:p>
            <w:r>
              <w:t xml:space="preserve">Residue In Food</w:t>
            </w:r>
          </w:p>
        </w:tc>
        <w:tc>
          <w:tcPr>
            <w:tcW w:type="dxa" w:w="5040"/>
          </w:tcPr>
          <w:p>
            <w:r>
              <w:t xml:space="preserve">30</w:t>
            </w:r>
          </w:p>
        </w:tc>
      </w:tr>
    </w:tbl>
    <w:p>
      <w:pPr>
        <w:pStyle w:val="Heading2"/>
      </w:pPr>
      <w:r>
        <w:t>Toxicity Indicators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Indicator</w:t>
            </w:r>
          </w:p>
        </w:tc>
        <w:tc>
          <w:tcPr>
            <w:tcW w:type="dxa" w:w="5040"/>
          </w:tcPr>
          <w:p>
            <w:r>
              <w:t>Value</w:t>
            </w:r>
          </w:p>
        </w:tc>
      </w:tr>
      <w:tr>
        <w:tc>
          <w:tcPr>
            <w:tcW w:type="dxa" w:w="5040"/>
          </w:tcPr>
          <w:p>
            <w:r>
              <w:t xml:space="preserve">Ld50 Oral Rat Mg Per Kg</w:t>
            </w:r>
          </w:p>
        </w:tc>
        <w:tc>
          <w:tcPr>
            <w:tcW w:type="dxa" w:w="5040"/>
          </w:tcPr>
          <w:p>
            <w:r>
              <w:t xml:space="preserve">1450</w:t>
            </w:r>
          </w:p>
        </w:tc>
      </w:tr>
      <w:tr>
        <w:tc>
          <w:tcPr>
            <w:tcW w:type="dxa" w:w="5040"/>
          </w:tcPr>
          <w:p>
            <w:r>
              <w:t xml:space="preserve">Ld50 Dermal Rat Mg Per Kg</w:t>
            </w:r>
          </w:p>
        </w:tc>
        <w:tc>
          <w:tcPr>
            <w:tcW w:type="dxa" w:w="5040"/>
          </w:tcPr>
          <w:p>
            <w:r>
              <w:t xml:space="preserve">2000</w:t>
            </w:r>
          </w:p>
        </w:tc>
      </w:tr>
      <w:tr>
        <w:tc>
          <w:tcPr>
            <w:tcW w:type="dxa" w:w="5040"/>
          </w:tcPr>
          <w:p>
            <w:r>
              <w:t xml:space="preserve">Fish Lc50 96H Mg Per L</w:t>
            </w:r>
          </w:p>
        </w:tc>
        <w:tc>
          <w:tcPr>
            <w:tcW w:type="dxa" w:w="5040"/>
          </w:tcPr>
          <w:p>
            <w:r>
              <w:t xml:space="preserve">0.89</w:t>
            </w:r>
          </w:p>
        </w:tc>
      </w:tr>
      <w:tr>
        <w:tc>
          <w:tcPr>
            <w:tcW w:type="dxa" w:w="5040"/>
          </w:tcPr>
          <w:p>
            <w:r>
              <w:t xml:space="preserve">Bee Ld50 Oral Microg Per Bee</w:t>
            </w:r>
          </w:p>
        </w:tc>
        <w:tc>
          <w:tcPr>
            <w:tcW w:type="dxa" w:w="5040"/>
          </w:tcPr>
          <w:p>
            <w:r>
              <w:t xml:space="preserve">12.4</w:t>
            </w:r>
          </w:p>
        </w:tc>
      </w:tr>
      <w:tr>
        <w:tc>
          <w:tcPr>
            <w:tcW w:type="dxa" w:w="5040"/>
          </w:tcPr>
          <w:p>
            <w:r>
              <w:t xml:space="preserve">Earthworm Lc50 14D Mg Per Kg</w:t>
            </w:r>
          </w:p>
        </w:tc>
        <w:tc>
          <w:tcPr>
            <w:tcW w:type="dxa" w:w="5040"/>
          </w:tcPr>
          <w:p>
            <w:r>
              <w:t xml:space="preserve">145</w:t>
            </w:r>
          </w:p>
        </w:tc>
      </w:tr>
    </w:tbl>
    <w:p>
      <w:pPr>
        <w:pStyle w:val="Heading2"/>
      </w:pPr>
      <w:r>
        <w:t>Efficacy Chart</w:t>
      </w:r>
    </w:p>
    <w:p>
      <w:pPr>
        <w:jc w:val="center"/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220000" cy="1817606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sa-prod-as250-effica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1760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Auflagen und Beschrankungen</w:t>
      </w:r>
    </w:p>
    <w:p>
      <w:r>
        <w:t xml:space="preserve"/>
      </w:r>
    </w:p>
    <w:p>
      <w:r>
        <w:t xml:space="preserve">- Do not apply within 10 m of surface water bodies.</w:t>
      </w:r>
    </w:p>
    <w:p>
      <w:r>
        <w:t xml:space="preserve"/>
      </w:r>
    </w:p>
    <w:p>
      <w:r>
        <w:t xml:space="preserve">- Use closed-cab application equipment.</w:t>
      </w:r>
    </w:p>
    <w:p>
      <w:r>
        <w:t xml:space="preserve"/>
      </w:r>
    </w:p>
    <w:p>
      <w:r>
        <w:t xml:space="preserve">- Maximum two applications per growing season.</w:t>
      </w:r>
    </w:p>
    <w:p>
      <w:r>
        <w:t xml:space="preserve"/>
      </w:r>
    </w:p>
    <w:p>
      <w:r>
        <w:t xml:space="preserve">- Field re-entry only after spray deposit has dried.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>Environmental Notes</w:t>
      </w:r>
    </w:p>
    <w:p>
      <w:r>
        <w:t xml:space="preserve"/>
      </w:r>
    </w:p>
    <w:p>
      <w:r>
        <w:t xml:space="preserve">- Persistent in soil under cool, dry conditions; field DT50 = 92 days.</w:t>
      </w:r>
    </w:p>
    <w:p>
      <w:r>
        <w:t xml:space="preserve"/>
      </w:r>
    </w:p>
    <w:p>
      <w:r>
        <w:t xml:space="preserve">- Low risk of leaching to groundwater under typical European conditions.</w:t>
      </w:r>
    </w:p>
    <w:p>
      <w:r>
        <w:t xml:space="preserve"/>
      </w:r>
    </w:p>
    <w:p>
      <w:r>
        <w:t xml:space="preserve">- Moderate risk to non-target arthropods at edge-of-field.</w:t>
      </w:r>
    </w:p>
    <w:p>
      <w:r>
        <w:t xml:space="preserve"/>
      </w:r>
    </w:p>
    <w:p>
      <w:pPr>
        <w:pStyle w:val="Heading2"/>
      </w:pPr>
      <w:r>
        <w:t>References</w:t>
      </w:r>
    </w:p>
    <w:p>
      <w:r>
        <w:t xml:space="preserve"/>
      </w:r>
    </w:p>
    <w:p>
      <w:r>
        <w:t xml:space="preserve"/>
      </w:r>
    </w:p>
    <w:p>
      <w:r>
        <w:t xml:space="preserve">- EFSA Journal (fictional): FIC-2026-12345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/>
          <w:pgMar w:top="1008" w:right="1080" w:bottom="1008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 xml:space="preserve">Verdura 75 WG</w:t>
      </w:r>
    </w:p>
    <w:p>
      <w:r>
        <w:t xml:space="preserve">Product ID: FCSA-PROD-VR075</w:t>
      </w:r>
    </w:p>
    <w:p>
      <w:r>
        <w:t xml:space="preserve">Active substance: Lumicarb-methyl (750 g/kg)</w:t>
      </w:r>
    </w:p>
    <w:p>
      <w:r>
        <w:t xml:space="preserve">Formulation: WG - Water-dispersible granules</w:t>
      </w:r>
    </w:p>
    <w:p>
      <w:r>
        <w:t xml:space="preserve">Manufacturer: Demo CropChem GmbH</w:t>
      </w:r>
    </w:p>
    <w:p>
      <w:r>
        <w:t xml:space="preserve">Country: FR. Status: approved. Valid from 2024-06-01 to 2029-05-31.</w:t>
      </w:r>
    </w:p>
    <w:p>
      <w:r>
        <w:t xml:space="preserve">Risk score: 42</w:t>
      </w:r>
    </w:p>
    <w:p>
      <w:r>
        <w:t xml:space="preserve">Applications assessed: 2</w:t>
      </w:r>
    </w:p>
    <w:p>
      <w:r>
        <w:t xml:space="preserve">Average efficacy: 89.0%</w:t>
      </w:r>
    </w:p>
    <w:p>
      <w:r>
        <w:t xml:space="preserve"/>
      </w:r>
    </w:p>
    <w:p>
      <w:pPr>
        <w:pStyle w:val="Heading2"/>
      </w:pPr>
      <w:r>
        <w:t>Applications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Crop</w:t>
            </w:r>
          </w:p>
        </w:tc>
        <w:tc>
          <w:tcPr>
            <w:tcW w:type="dxa" w:w="1440"/>
          </w:tcPr>
          <w:p>
            <w:r>
              <w:t>Target pest</w:t>
            </w:r>
          </w:p>
        </w:tc>
        <w:tc>
          <w:tcPr>
            <w:tcW w:type="dxa" w:w="1440"/>
          </w:tcPr>
          <w:p>
            <w:r>
              <w:t>BBCH</w:t>
            </w:r>
          </w:p>
        </w:tc>
        <w:tc>
          <w:tcPr>
            <w:tcW w:type="dxa" w:w="1440"/>
          </w:tcPr>
          <w:p>
            <w:r>
              <w:t>Dose</w:t>
            </w:r>
          </w:p>
        </w:tc>
        <w:tc>
          <w:tcPr>
            <w:tcW w:type="dxa" w:w="1440"/>
          </w:tcPr>
          <w:p>
            <w:r>
              <w:t>Max apps</w:t>
            </w:r>
          </w:p>
        </w:tc>
        <w:tc>
          <w:tcPr>
            <w:tcW w:type="dxa" w:w="1440"/>
          </w:tcPr>
          <w:p>
            <w:r>
              <w:t>Efficacy</w:t>
            </w:r>
          </w:p>
        </w:tc>
        <w:tc>
          <w:tcPr>
            <w:tcW w:type="dxa" w:w="1440"/>
          </w:tcPr>
          <w:p>
            <w:r>
              <w:t>PHI days</w:t>
            </w:r>
          </w:p>
        </w:tc>
      </w:tr>
      <w:tr>
        <w:tc>
          <w:tcPr>
            <w:tcW w:type="dxa" w:w="1440"/>
          </w:tcPr>
          <w:p>
            <w:r>
              <w:t xml:space="preserve">Tomato (greenhouse)</w:t>
            </w:r>
          </w:p>
        </w:tc>
        <w:tc>
          <w:tcPr>
            <w:tcW w:type="dxa" w:w="1440"/>
          </w:tcPr>
          <w:p>
            <w:r>
              <w:t xml:space="preserve">Botrytis cinerea</w:t>
            </w:r>
          </w:p>
        </w:tc>
        <w:tc>
          <w:tcPr>
            <w:tcW w:type="dxa" w:w="1440"/>
          </w:tcPr>
          <w:p>
            <w:r>
              <w:t xml:space="preserve">61-89</w:t>
            </w:r>
          </w:p>
        </w:tc>
        <w:tc>
          <w:tcPr>
            <w:tcW w:type="dxa" w:w="1440"/>
          </w:tcPr>
          <w:p>
            <w:r>
              <w:t xml:space="preserve">0.6 kg/ha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91%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</w:tr>
      <w:tr>
        <w:tc>
          <w:tcPr>
            <w:tcW w:type="dxa" w:w="1440"/>
          </w:tcPr>
          <w:p>
            <w:r>
              <w:t xml:space="preserve">Grapevine</w:t>
            </w:r>
          </w:p>
        </w:tc>
        <w:tc>
          <w:tcPr>
            <w:tcW w:type="dxa" w:w="1440"/>
          </w:tcPr>
          <w:p>
            <w:r>
              <w:t xml:space="preserve">Erysiphe necator (powdery mildew)</w:t>
            </w:r>
          </w:p>
        </w:tc>
        <w:tc>
          <w:tcPr>
            <w:tcW w:type="dxa" w:w="1440"/>
          </w:tcPr>
          <w:p>
            <w:r>
              <w:t xml:space="preserve">53-81</w:t>
            </w:r>
          </w:p>
        </w:tc>
        <w:tc>
          <w:tcPr>
            <w:tcW w:type="dxa" w:w="1440"/>
          </w:tcPr>
          <w:p>
            <w:r>
              <w:t xml:space="preserve">0.4 kg/ha</w:t>
            </w:r>
          </w:p>
        </w:tc>
        <w:tc>
          <w:tcPr>
            <w:tcW w:type="dxa" w:w="1440"/>
          </w:tcPr>
          <w:p>
            <w:r>
              <w:t xml:space="preserve">4</w:t>
            </w:r>
          </w:p>
        </w:tc>
        <w:tc>
          <w:tcPr>
            <w:tcW w:type="dxa" w:w="1440"/>
          </w:tcPr>
          <w:p>
            <w:r>
              <w:t xml:space="preserve">87%</w:t>
            </w:r>
          </w:p>
        </w:tc>
        <w:tc>
          <w:tcPr>
            <w:tcW w:type="dxa" w:w="1440"/>
          </w:tcPr>
          <w:p>
            <w:r>
              <w:t xml:space="preserve">21</w:t>
            </w:r>
          </w:p>
        </w:tc>
      </w:tr>
    </w:tbl>
    <w:p>
      <w:pPr>
        <w:pStyle w:val="Heading2"/>
      </w:pPr>
      <w:r>
        <w:t>Risk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Component</w:t>
            </w:r>
          </w:p>
        </w:tc>
        <w:tc>
          <w:tcPr>
            <w:tcW w:type="dxa" w:w="5040"/>
          </w:tcPr>
          <w:p>
            <w:r>
              <w:t>Score</w:t>
            </w:r>
          </w:p>
        </w:tc>
      </w:tr>
      <w:tr>
        <w:tc>
          <w:tcPr>
            <w:tcW w:type="dxa" w:w="5040"/>
          </w:tcPr>
          <w:p>
            <w:r>
              <w:t xml:space="preserve">Human Health</w:t>
            </w:r>
          </w:p>
        </w:tc>
        <w:tc>
          <w:tcPr>
            <w:tcW w:type="dxa" w:w="5040"/>
          </w:tcPr>
          <w:p>
            <w:r>
              <w:t xml:space="preserve">38</w:t>
            </w:r>
          </w:p>
        </w:tc>
      </w:tr>
      <w:tr>
        <w:tc>
          <w:tcPr>
            <w:tcW w:type="dxa" w:w="5040"/>
          </w:tcPr>
          <w:p>
            <w:r>
              <w:t xml:space="preserve">Ecotoxicology</w:t>
            </w:r>
          </w:p>
        </w:tc>
        <w:tc>
          <w:tcPr>
            <w:tcW w:type="dxa" w:w="5040"/>
          </w:tcPr>
          <w:p>
            <w:r>
              <w:t xml:space="preserve">51</w:t>
            </w:r>
          </w:p>
        </w:tc>
      </w:tr>
      <w:tr>
        <w:tc>
          <w:tcPr>
            <w:tcW w:type="dxa" w:w="5040"/>
          </w:tcPr>
          <w:p>
            <w:r>
              <w:t xml:space="preserve">Environmental Fate</w:t>
            </w:r>
          </w:p>
        </w:tc>
        <w:tc>
          <w:tcPr>
            <w:tcW w:type="dxa" w:w="5040"/>
          </w:tcPr>
          <w:p>
            <w:r>
              <w:t xml:space="preserve">36</w:t>
            </w:r>
          </w:p>
        </w:tc>
      </w:tr>
      <w:tr>
        <w:tc>
          <w:tcPr>
            <w:tcW w:type="dxa" w:w="5040"/>
          </w:tcPr>
          <w:p>
            <w:r>
              <w:t xml:space="preserve">Residue In Food</w:t>
            </w:r>
          </w:p>
        </w:tc>
        <w:tc>
          <w:tcPr>
            <w:tcW w:type="dxa" w:w="5040"/>
          </w:tcPr>
          <w:p>
            <w:r>
              <w:t xml:space="preserve">44</w:t>
            </w:r>
          </w:p>
        </w:tc>
      </w:tr>
    </w:tbl>
    <w:p>
      <w:pPr>
        <w:pStyle w:val="Heading2"/>
      </w:pPr>
      <w:r>
        <w:t>Toxicity Indicators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Indicator</w:t>
            </w:r>
          </w:p>
        </w:tc>
        <w:tc>
          <w:tcPr>
            <w:tcW w:type="dxa" w:w="5040"/>
          </w:tcPr>
          <w:p>
            <w:r>
              <w:t>Value</w:t>
            </w:r>
          </w:p>
        </w:tc>
      </w:tr>
      <w:tr>
        <w:tc>
          <w:tcPr>
            <w:tcW w:type="dxa" w:w="5040"/>
          </w:tcPr>
          <w:p>
            <w:r>
              <w:t xml:space="preserve">Ld50 Oral Rat Mg Per Kg</w:t>
            </w:r>
          </w:p>
        </w:tc>
        <w:tc>
          <w:tcPr>
            <w:tcW w:type="dxa" w:w="5040"/>
          </w:tcPr>
          <w:p>
            <w:r>
              <w:t xml:space="preserve">3200</w:t>
            </w:r>
          </w:p>
        </w:tc>
      </w:tr>
      <w:tr>
        <w:tc>
          <w:tcPr>
            <w:tcW w:type="dxa" w:w="5040"/>
          </w:tcPr>
          <w:p>
            <w:r>
              <w:t xml:space="preserve">Ld50 Dermal Rat Mg Per Kg</w:t>
            </w:r>
          </w:p>
        </w:tc>
        <w:tc>
          <w:tcPr>
            <w:tcW w:type="dxa" w:w="5040"/>
          </w:tcPr>
          <w:p>
            <w:r>
              <w:t xml:space="preserve">5000</w:t>
            </w:r>
          </w:p>
        </w:tc>
      </w:tr>
      <w:tr>
        <w:tc>
          <w:tcPr>
            <w:tcW w:type="dxa" w:w="5040"/>
          </w:tcPr>
          <w:p>
            <w:r>
              <w:t xml:space="preserve">Fish Lc50 96H Mg Per L</w:t>
            </w:r>
          </w:p>
        </w:tc>
        <w:tc>
          <w:tcPr>
            <w:tcW w:type="dxa" w:w="5040"/>
          </w:tcPr>
          <w:p>
            <w:r>
              <w:t xml:space="preserve">4.6</w:t>
            </w:r>
          </w:p>
        </w:tc>
      </w:tr>
      <w:tr>
        <w:tc>
          <w:tcPr>
            <w:tcW w:type="dxa" w:w="5040"/>
          </w:tcPr>
          <w:p>
            <w:r>
              <w:t xml:space="preserve">Bee Ld50 Oral Microg Per Bee</w:t>
            </w:r>
          </w:p>
        </w:tc>
        <w:tc>
          <w:tcPr>
            <w:tcW w:type="dxa" w:w="5040"/>
          </w:tcPr>
          <w:p>
            <w:r>
              <w:t xml:space="preserve">89</w:t>
            </w:r>
          </w:p>
        </w:tc>
      </w:tr>
      <w:tr>
        <w:tc>
          <w:tcPr>
            <w:tcW w:type="dxa" w:w="5040"/>
          </w:tcPr>
          <w:p>
            <w:r>
              <w:t xml:space="preserve">Earthworm Lc50 14D Mg Per Kg</w:t>
            </w:r>
          </w:p>
        </w:tc>
        <w:tc>
          <w:tcPr>
            <w:tcW w:type="dxa" w:w="5040"/>
          </w:tcPr>
          <w:p>
            <w:r>
              <w:t xml:space="preserve">480</w:t>
            </w:r>
          </w:p>
        </w:tc>
      </w:tr>
    </w:tbl>
    <w:p>
      <w:pPr>
        <w:pStyle w:val="Heading2"/>
      </w:pPr>
      <w:r>
        <w:t>Efficacy Chart</w:t>
      </w:r>
    </w:p>
    <w:p>
      <w:pPr>
        <w:jc w:val="center"/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220000" cy="1817606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sa-prod-vr075-effic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1760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>Environmental Notes</w:t>
      </w:r>
    </w:p>
    <w:p>
      <w:r>
        <w:t xml:space="preserve"/>
      </w:r>
    </w:p>
    <w:p>
      <w:r>
        <w:t xml:space="preserve">- Rapid degradation in soil; field DT50 = 8 days.</w:t>
      </w:r>
    </w:p>
    <w:p>
      <w:r>
        <w:t xml:space="preserve"/>
      </w:r>
    </w:p>
    <w:p>
      <w:r>
        <w:t xml:space="preserve">- Low bioaccumulation potential.</w:t>
      </w:r>
    </w:p>
    <w:p>
      <w:r>
        <w:t xml:space="preserve"/>
      </w:r>
    </w:p>
    <w:p>
      <w:r>
        <w:t xml:space="preserve">- Acceptable risk to bees under good agricultural practice.</w:t>
      </w:r>
    </w:p>
    <w:p>
      <w:r>
        <w:t xml:space="preserve"/>
      </w:r>
    </w:p>
    <w:p>
      <w:pPr>
        <w:pStyle w:val="Heading2"/>
      </w:pPr>
      <w:r>
        <w:t>References</w:t>
      </w:r>
    </w:p>
    <w:p>
      <w:r>
        <w:t xml:space="preserve"/>
      </w:r>
    </w:p>
    <w:p>
      <w:r>
        <w:t xml:space="preserve"/>
      </w:r>
    </w:p>
    <w:p>
      <w:r>
        <w:t xml:space="preserve">- EU Pesticides Database (fictional): FIC-EUPD-2024-00911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INTERNAL |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  <w:r>
      <w:t xml:space="preserve"> | Fictional dataset for recruiting use only. Not a real regulatory record.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Fictional Crop Science Authority (FCSA) | FCSA-PPR-2026-0042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