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val="160"/>
        </w:trPr>
        <w:tc>
          <w:tcPr>
            <w:tcW w:type="dxa" w:w="10080"/>
            <w:shd w:fill="F07D00"/>
            <w:tcBorders>
              <w:top w:val="single" w:sz="6" w:space="0" w:color="F07D00"/>
              <w:left w:val="single" w:sz="6" w:space="0" w:color="F07D00"/>
              <w:bottom w:val="single" w:sz="6" w:space="0" w:color="F07D00"/>
              <w:right w:val="single" w:sz="6" w:space="0" w:color="F07D00"/>
              <w:insideH w:val="single" w:sz="6" w:space="0" w:color="F07D00"/>
              <w:insideV w:val="single" w:sz="6" w:space="0" w:color="F07D00"/>
            </w:tcBorders>
          </w:tcPr>
          <w:p>
            <w:r/>
          </w:p>
        </w:tc>
      </w:tr>
    </w:tbl>
    <w:p>
      <w:pPr>
        <w:jc w:val="center"/>
      </w:pPr>
      <w:r>
        <w:rPr>
          <w:rFonts w:ascii="Arial" w:hAnsi="Arial"/>
          <w:b/>
          <w:color w:val="F07D00"/>
          <w:sz w:val="20"/>
        </w:rPr>
        <w:t>DYNAMIC REGULATORY REPORT GENERATOR</w:t>
      </w:r>
    </w:p>
    <w:p>
      <w:pPr>
        <w:pStyle w:val="Title"/>
        <w:spacing w:before="360" w:after="160"/>
        <w:jc w:val="center"/>
      </w:pPr>
      <w:r>
        <w:t xml:space="preserve">Plant Protection Product Evaluation Report</w:t>
      </w:r>
    </w:p>
    <w:p>
      <w:pPr>
        <w:spacing w:after="480"/>
        <w:jc w:val="center"/>
      </w:pPr>
      <w:r>
        <w:rPr>
          <w:rFonts w:ascii="Arial" w:hAnsi="Arial"/>
          <w:b/>
          <w:color w:val="1D3A5E"/>
          <w:sz w:val="24"/>
        </w:rPr>
        <w:t xml:space="preserve">Fictional Crop Science Authority (FCSA)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736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FF2E6"/>
          </w:tcPr>
          <w:p>
            <w:pPr>
              <w:spacing w:after="40"/>
            </w:pPr>
            <w:r>
              <w:rPr>
                <w:rFonts w:ascii="Arial" w:hAnsi="Arial"/>
                <w:b/>
                <w:color w:val="1D3A5E"/>
                <w:sz w:val="18"/>
              </w:rPr>
              <w:t>Report ID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5F5F5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FCSA-PPR-2026-0042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FF2E6"/>
          </w:tcPr>
          <w:p>
            <w:pPr>
              <w:spacing w:after="40"/>
            </w:pPr>
            <w:r>
              <w:rPr>
                <w:rFonts w:ascii="Arial" w:hAnsi="Arial"/>
                <w:b/>
                <w:color w:val="1D3A5E"/>
                <w:sz w:val="18"/>
              </w:rPr>
              <w:t>Issued on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5F5F5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2026-04-18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FF2E6"/>
          </w:tcPr>
          <w:p>
            <w:pPr>
              <w:spacing w:after="40"/>
            </w:pPr>
            <w:r>
              <w:rPr>
                <w:rFonts w:ascii="Arial" w:hAnsi="Arial"/>
                <w:b/>
                <w:color w:val="1D3A5E"/>
                <w:sz w:val="18"/>
              </w:rPr>
              <w:t>Version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5F5F5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1.0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FF2E6"/>
          </w:tcPr>
          <w:p>
            <w:pPr>
              <w:spacing w:after="40"/>
            </w:pPr>
            <w:r>
              <w:rPr>
                <w:rFonts w:ascii="Arial" w:hAnsi="Arial"/>
                <w:b/>
                <w:color w:val="1D3A5E"/>
                <w:sz w:val="18"/>
              </w:rPr>
              <w:t>Locale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5F5F5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en-EU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FF2E6"/>
          </w:tcPr>
          <w:p>
            <w:pPr>
              <w:spacing w:after="40"/>
            </w:pPr>
            <w:r>
              <w:rPr>
                <w:rFonts w:ascii="Arial" w:hAnsi="Arial"/>
                <w:b/>
                <w:color w:val="1D3A5E"/>
                <w:sz w:val="18"/>
              </w:rPr>
              <w:t>Classification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5F5F5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736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FF2E6"/>
          </w:tcPr>
          <w:p>
            <w:pPr>
              <w:spacing w:after="40"/>
            </w:pPr>
            <w:r>
              <w:rPr>
                <w:rFonts w:ascii="Arial" w:hAnsi="Arial"/>
                <w:b/>
                <w:color w:val="1D3A5E"/>
                <w:sz w:val="18"/>
              </w:rPr>
              <w:t>Products assessed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5F5F5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2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FF2E6"/>
          </w:tcPr>
          <w:p>
            <w:pPr>
              <w:spacing w:after="40"/>
            </w:pPr>
            <w:r>
              <w:rPr>
                <w:rFonts w:ascii="Arial" w:hAnsi="Arial"/>
                <w:b/>
                <w:color w:val="1D3A5E"/>
                <w:sz w:val="18"/>
              </w:rPr>
              <w:t>Conditional approvals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5F5F5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1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FF2E6"/>
          </w:tcPr>
          <w:p>
            <w:pPr>
              <w:spacing w:after="40"/>
            </w:pPr>
            <w:r>
              <w:rPr>
                <w:rFonts w:ascii="Arial" w:hAnsi="Arial"/>
                <w:b/>
                <w:color w:val="1D3A5E"/>
                <w:sz w:val="18"/>
              </w:rPr>
              <w:t>High-risk products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5F5F5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1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FF2E6"/>
          </w:tcPr>
          <w:p>
            <w:pPr>
              <w:spacing w:after="40"/>
            </w:pPr>
            <w:r>
              <w:rPr>
                <w:rFonts w:ascii="Arial" w:hAnsi="Arial"/>
                <w:b/>
                <w:color w:val="1D3A5E"/>
                <w:sz w:val="18"/>
              </w:rPr>
              <w:t>Overall average efficacy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5F5F5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86.3%</w:t>
            </w:r>
          </w:p>
        </w:tc>
      </w:tr>
    </w:tbl>
    <w:p>
      <w:pPr>
        <w:spacing w:before="240" w:after="240"/>
      </w:pPr>
      <w:r>
        <w:t>This report was generated from structured JSON input after schema validation, business-rule mapping, chart generation, and DOCX template rendering.</w:t>
      </w:r>
    </w:p>
    <w:p>
      <w:r>
        <w:t xml:space="preserve"/>
      </w:r>
    </w:p>
    <w:p>
      <w:pPr>
        <w:sectPr>
          <w:headerReference w:type="default" r:id="rId9"/>
          <w:footerReference w:type="default" r:id="rId10"/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val="160"/>
        </w:trPr>
        <w:tc>
          <w:tcPr>
            <w:tcW w:type="dxa" w:w="10080"/>
            <w:shd w:fill="F07D00"/>
            <w:tcBorders>
              <w:top w:val="single" w:sz="6" w:space="0" w:color="F07D00"/>
              <w:left w:val="single" w:sz="6" w:space="0" w:color="F07D00"/>
              <w:bottom w:val="single" w:sz="6" w:space="0" w:color="F07D00"/>
              <w:right w:val="single" w:sz="6" w:space="0" w:color="F07D00"/>
              <w:insideH w:val="single" w:sz="6" w:space="0" w:color="F07D00"/>
              <w:insideV w:val="single" w:sz="6" w:space="0" w:color="F07D00"/>
            </w:tcBorders>
          </w:tcPr>
          <w:p>
            <w:r/>
          </w:p>
        </w:tc>
      </w:tr>
    </w:tbl>
    <w:p>
      <w:pPr>
        <w:pStyle w:val="Heading1"/>
      </w:pPr>
      <w:r>
        <w:t xml:space="preserve">AgriShield 250 EC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736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FF2E6"/>
          </w:tcPr>
          <w:p>
            <w:pPr>
              <w:spacing w:after="40"/>
            </w:pPr>
            <w:r>
              <w:rPr>
                <w:rFonts w:ascii="Arial" w:hAnsi="Arial"/>
                <w:b/>
                <w:color w:val="1D3A5E"/>
                <w:sz w:val="18"/>
              </w:rPr>
              <w:t>Product ID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5F5F5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FCSA-PROD-AS250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FF2E6"/>
          </w:tcPr>
          <w:p>
            <w:pPr>
              <w:spacing w:after="40"/>
            </w:pPr>
            <w:r>
              <w:rPr>
                <w:rFonts w:ascii="Arial" w:hAnsi="Arial"/>
                <w:b/>
                <w:color w:val="1D3A5E"/>
                <w:sz w:val="18"/>
              </w:rPr>
              <w:t>Active substance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5F5F5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Fictoxazole (250 g/L)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FF2E6"/>
          </w:tcPr>
          <w:p>
            <w:pPr>
              <w:spacing w:after="40"/>
            </w:pPr>
            <w:r>
              <w:rPr>
                <w:rFonts w:ascii="Arial" w:hAnsi="Arial"/>
                <w:b/>
                <w:color w:val="1D3A5E"/>
                <w:sz w:val="18"/>
              </w:rPr>
              <w:t>Formulation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5F5F5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EC - Emulsifiable concentrate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FF2E6"/>
          </w:tcPr>
          <w:p>
            <w:pPr>
              <w:spacing w:after="40"/>
            </w:pPr>
            <w:r>
              <w:rPr>
                <w:rFonts w:ascii="Arial" w:hAnsi="Arial"/>
                <w:b/>
                <w:color w:val="1D3A5E"/>
                <w:sz w:val="18"/>
              </w:rPr>
              <w:t>Manufacturer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5F5F5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Demo CropChem GmbH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FF2E6"/>
          </w:tcPr>
          <w:p>
            <w:pPr>
              <w:spacing w:after="40"/>
            </w:pPr>
            <w:r>
              <w:rPr>
                <w:rFonts w:ascii="Arial" w:hAnsi="Arial"/>
                <w:b/>
                <w:color w:val="1D3A5E"/>
                <w:sz w:val="18"/>
              </w:rPr>
              <w:t>Approval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5F5F5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Germany: Zugelassen gem. PflSchG - Status: conditional. Valid from 2025-01-01 to 2027-12-31.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FF2E6"/>
          </w:tcPr>
          <w:p>
            <w:pPr>
              <w:spacing w:after="40"/>
            </w:pPr>
            <w:r>
              <w:rPr>
                <w:rFonts w:ascii="Arial" w:hAnsi="Arial"/>
                <w:b/>
                <w:color w:val="1D3A5E"/>
                <w:sz w:val="18"/>
              </w:rPr>
              <w:t>Risk score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5F5F5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78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FF2E6"/>
          </w:tcPr>
          <w:p>
            <w:pPr>
              <w:spacing w:after="40"/>
            </w:pPr>
            <w:r>
              <w:rPr>
                <w:rFonts w:ascii="Arial" w:hAnsi="Arial"/>
                <w:b/>
                <w:color w:val="1D3A5E"/>
                <w:sz w:val="18"/>
              </w:rPr>
              <w:t>Applications assessed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5F5F5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3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FF2E6"/>
          </w:tcPr>
          <w:p>
            <w:pPr>
              <w:spacing w:after="40"/>
            </w:pPr>
            <w:r>
              <w:rPr>
                <w:rFonts w:ascii="Arial" w:hAnsi="Arial"/>
                <w:b/>
                <w:color w:val="1D3A5E"/>
                <w:sz w:val="18"/>
              </w:rPr>
              <w:t>Average efficacy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5F5F5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83.7%</w:t>
            </w:r>
          </w:p>
        </w:tc>
      </w:tr>
    </w:tbl>
    <w:p>
      <w:r>
        <w:t xml:space="preserv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E4"/>
            <w:tcBorders>
              <w:top w:val="single" w:sz="6" w:space="0" w:color="9C2B2B"/>
              <w:left w:val="single" w:sz="6" w:space="0" w:color="9C2B2B"/>
              <w:bottom w:val="single" w:sz="6" w:space="0" w:color="9C2B2B"/>
              <w:right w:val="single" w:sz="6" w:space="0" w:color="9C2B2B"/>
              <w:insideH w:val="single" w:sz="6" w:space="0" w:color="9C2B2B"/>
              <w:insideV w:val="single" w:sz="6" w:space="0" w:color="9C2B2B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9C2B2B"/>
                <w:sz w:val="18"/>
              </w:rPr>
              <w:t xml:space="preserve">HIGH RISK NOTICE / HOCHRISIKO-HINWEIS: This product exceeds the high-risk threshold with a risk score of 78. Additional regulatory review is required.</w:t>
            </w:r>
          </w:p>
        </w:tc>
      </w:tr>
    </w:tbl>
    <w:p>
      <w:r>
        <w:t xml:space="preserve"/>
      </w:r>
    </w:p>
    <w:p>
      <w:pPr>
        <w:pStyle w:val="Heading2"/>
      </w:pPr>
      <w:r>
        <w:t>Applications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shd w:fill="1D3A5E"/>
            <w:tcBorders>
              <w:top w:val="single" w:sz="6" w:space="0" w:color="1D3A5E"/>
              <w:left w:val="single" w:sz="6" w:space="0" w:color="1D3A5E"/>
              <w:bottom w:val="single" w:sz="6" w:space="0" w:color="1D3A5E"/>
              <w:right w:val="single" w:sz="6" w:space="0" w:color="1D3A5E"/>
              <w:insideH w:val="single" w:sz="6" w:space="0" w:color="1D3A5E"/>
              <w:insideV w:val="single" w:sz="6" w:space="0" w:color="1D3A5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Crop</w:t>
            </w:r>
          </w:p>
        </w:tc>
        <w:tc>
          <w:tcPr>
            <w:tcW w:type="dxa" w:w="1440"/>
            <w:vAlign w:val="center"/>
            <w:shd w:fill="1D3A5E"/>
            <w:tcBorders>
              <w:top w:val="single" w:sz="6" w:space="0" w:color="1D3A5E"/>
              <w:left w:val="single" w:sz="6" w:space="0" w:color="1D3A5E"/>
              <w:bottom w:val="single" w:sz="6" w:space="0" w:color="1D3A5E"/>
              <w:right w:val="single" w:sz="6" w:space="0" w:color="1D3A5E"/>
              <w:insideH w:val="single" w:sz="6" w:space="0" w:color="1D3A5E"/>
              <w:insideV w:val="single" w:sz="6" w:space="0" w:color="1D3A5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Target pest</w:t>
            </w:r>
          </w:p>
        </w:tc>
        <w:tc>
          <w:tcPr>
            <w:tcW w:type="dxa" w:w="1440"/>
            <w:vAlign w:val="center"/>
            <w:shd w:fill="1D3A5E"/>
            <w:tcBorders>
              <w:top w:val="single" w:sz="6" w:space="0" w:color="1D3A5E"/>
              <w:left w:val="single" w:sz="6" w:space="0" w:color="1D3A5E"/>
              <w:bottom w:val="single" w:sz="6" w:space="0" w:color="1D3A5E"/>
              <w:right w:val="single" w:sz="6" w:space="0" w:color="1D3A5E"/>
              <w:insideH w:val="single" w:sz="6" w:space="0" w:color="1D3A5E"/>
              <w:insideV w:val="single" w:sz="6" w:space="0" w:color="1D3A5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BBCH</w:t>
            </w:r>
          </w:p>
        </w:tc>
        <w:tc>
          <w:tcPr>
            <w:tcW w:type="dxa" w:w="1440"/>
            <w:vAlign w:val="center"/>
            <w:shd w:fill="1D3A5E"/>
            <w:tcBorders>
              <w:top w:val="single" w:sz="6" w:space="0" w:color="1D3A5E"/>
              <w:left w:val="single" w:sz="6" w:space="0" w:color="1D3A5E"/>
              <w:bottom w:val="single" w:sz="6" w:space="0" w:color="1D3A5E"/>
              <w:right w:val="single" w:sz="6" w:space="0" w:color="1D3A5E"/>
              <w:insideH w:val="single" w:sz="6" w:space="0" w:color="1D3A5E"/>
              <w:insideV w:val="single" w:sz="6" w:space="0" w:color="1D3A5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Dose</w:t>
            </w:r>
          </w:p>
        </w:tc>
        <w:tc>
          <w:tcPr>
            <w:tcW w:type="dxa" w:w="1440"/>
            <w:vAlign w:val="center"/>
            <w:shd w:fill="1D3A5E"/>
            <w:tcBorders>
              <w:top w:val="single" w:sz="6" w:space="0" w:color="1D3A5E"/>
              <w:left w:val="single" w:sz="6" w:space="0" w:color="1D3A5E"/>
              <w:bottom w:val="single" w:sz="6" w:space="0" w:color="1D3A5E"/>
              <w:right w:val="single" w:sz="6" w:space="0" w:color="1D3A5E"/>
              <w:insideH w:val="single" w:sz="6" w:space="0" w:color="1D3A5E"/>
              <w:insideV w:val="single" w:sz="6" w:space="0" w:color="1D3A5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Max apps</w:t>
            </w:r>
          </w:p>
        </w:tc>
        <w:tc>
          <w:tcPr>
            <w:tcW w:type="dxa" w:w="1440"/>
            <w:vAlign w:val="center"/>
            <w:shd w:fill="1D3A5E"/>
            <w:tcBorders>
              <w:top w:val="single" w:sz="6" w:space="0" w:color="1D3A5E"/>
              <w:left w:val="single" w:sz="6" w:space="0" w:color="1D3A5E"/>
              <w:bottom w:val="single" w:sz="6" w:space="0" w:color="1D3A5E"/>
              <w:right w:val="single" w:sz="6" w:space="0" w:color="1D3A5E"/>
              <w:insideH w:val="single" w:sz="6" w:space="0" w:color="1D3A5E"/>
              <w:insideV w:val="single" w:sz="6" w:space="0" w:color="1D3A5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Efficacy</w:t>
            </w:r>
          </w:p>
        </w:tc>
        <w:tc>
          <w:tcPr>
            <w:tcW w:type="dxa" w:w="1440"/>
            <w:vAlign w:val="center"/>
            <w:shd w:fill="1D3A5E"/>
            <w:tcBorders>
              <w:top w:val="single" w:sz="6" w:space="0" w:color="1D3A5E"/>
              <w:left w:val="single" w:sz="6" w:space="0" w:color="1D3A5E"/>
              <w:bottom w:val="single" w:sz="6" w:space="0" w:color="1D3A5E"/>
              <w:right w:val="single" w:sz="6" w:space="0" w:color="1D3A5E"/>
              <w:insideH w:val="single" w:sz="6" w:space="0" w:color="1D3A5E"/>
              <w:insideV w:val="single" w:sz="6" w:space="0" w:color="1D3A5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PHI days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Winter wheat</w:t>
            </w:r>
          </w:p>
        </w:tc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Septoria tritici</w:t>
            </w:r>
          </w:p>
        </w:tc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31-39</w:t>
            </w:r>
          </w:p>
        </w:tc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1 L/ha</w:t>
            </w:r>
          </w:p>
        </w:tc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2</w:t>
            </w:r>
          </w:p>
        </w:tc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88%</w:t>
            </w:r>
          </w:p>
        </w:tc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35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Winter barley</w:t>
            </w:r>
          </w:p>
        </w:tc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Ramularia collo-cygni</w:t>
            </w:r>
          </w:p>
        </w:tc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37-49</w:t>
            </w:r>
          </w:p>
        </w:tc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1.25 L/ha</w:t>
            </w:r>
          </w:p>
        </w:tc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2</w:t>
            </w:r>
          </w:p>
        </w:tc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84%</w:t>
            </w:r>
          </w:p>
        </w:tc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35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Winter oilseed rape</w:t>
            </w:r>
          </w:p>
        </w:tc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Phoma lingam</w:t>
            </w:r>
          </w:p>
        </w:tc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14-20</w:t>
            </w:r>
          </w:p>
        </w:tc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0.8 L/ha</w:t>
            </w:r>
          </w:p>
        </w:tc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1</w:t>
            </w:r>
          </w:p>
        </w:tc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79%</w:t>
            </w:r>
          </w:p>
        </w:tc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56</w:t>
            </w:r>
          </w:p>
        </w:tc>
      </w:tr>
    </w:tbl>
    <w:p>
      <w:pPr>
        <w:pStyle w:val="Heading2"/>
      </w:pPr>
      <w:r>
        <w:t>Risk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07D00"/>
            <w:tcBorders>
              <w:top w:val="single" w:sz="6" w:space="0" w:color="F07D00"/>
              <w:left w:val="single" w:sz="6" w:space="0" w:color="F07D00"/>
              <w:bottom w:val="single" w:sz="6" w:space="0" w:color="F07D00"/>
              <w:right w:val="single" w:sz="6" w:space="0" w:color="F07D00"/>
              <w:insideH w:val="single" w:sz="6" w:space="0" w:color="F07D00"/>
              <w:insideV w:val="single" w:sz="6" w:space="0" w:color="F07D00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040"/>
            <w:vAlign w:val="center"/>
            <w:shd w:fill="F07D00"/>
            <w:tcBorders>
              <w:top w:val="single" w:sz="6" w:space="0" w:color="F07D00"/>
              <w:left w:val="single" w:sz="6" w:space="0" w:color="F07D00"/>
              <w:bottom w:val="single" w:sz="6" w:space="0" w:color="F07D00"/>
              <w:right w:val="single" w:sz="6" w:space="0" w:color="F07D00"/>
              <w:insideH w:val="single" w:sz="6" w:space="0" w:color="F07D00"/>
              <w:insideV w:val="single" w:sz="6" w:space="0" w:color="F07D00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Human Health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45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Ecotoxicology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82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Environmental Fate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78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Residue In Food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30</w:t>
            </w:r>
          </w:p>
        </w:tc>
      </w:tr>
    </w:tbl>
    <w:p>
      <w:pPr>
        <w:pStyle w:val="Heading2"/>
      </w:pPr>
      <w:r>
        <w:t>Toxicity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07D00"/>
            <w:tcBorders>
              <w:top w:val="single" w:sz="6" w:space="0" w:color="F07D00"/>
              <w:left w:val="single" w:sz="6" w:space="0" w:color="F07D00"/>
              <w:bottom w:val="single" w:sz="6" w:space="0" w:color="F07D00"/>
              <w:right w:val="single" w:sz="6" w:space="0" w:color="F07D00"/>
              <w:insideH w:val="single" w:sz="6" w:space="0" w:color="F07D00"/>
              <w:insideV w:val="single" w:sz="6" w:space="0" w:color="F07D00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Indicator</w:t>
            </w:r>
          </w:p>
        </w:tc>
        <w:tc>
          <w:tcPr>
            <w:tcW w:type="dxa" w:w="5040"/>
            <w:vAlign w:val="center"/>
            <w:shd w:fill="F07D00"/>
            <w:tcBorders>
              <w:top w:val="single" w:sz="6" w:space="0" w:color="F07D00"/>
              <w:left w:val="single" w:sz="6" w:space="0" w:color="F07D00"/>
              <w:bottom w:val="single" w:sz="6" w:space="0" w:color="F07D00"/>
              <w:right w:val="single" w:sz="6" w:space="0" w:color="F07D00"/>
              <w:insideH w:val="single" w:sz="6" w:space="0" w:color="F07D00"/>
              <w:insideV w:val="single" w:sz="6" w:space="0" w:color="F07D00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Ld50 Oral Rat Mg Per Kg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1450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Ld50 Dermal Rat Mg Per Kg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2000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Fish Lc50 96H Mg Per L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0.89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Bee Ld50 Oral Microg Per Bee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12.4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Earthworm Lc50 14D Mg Per Kg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145</w:t>
            </w:r>
          </w:p>
        </w:tc>
      </w:tr>
    </w:tbl>
    <w:p>
      <w:pPr>
        <w:pStyle w:val="Heading2"/>
      </w:pPr>
      <w:r>
        <w:t>Efficacy Chart</w:t>
      </w:r>
    </w:p>
    <w:p>
      <w:pPr>
        <w:jc w:val="center"/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220000" cy="1817606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sa-prod-as250-effica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1760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Auflagen und Beschrankungen</w:t>
      </w:r>
    </w:p>
    <w:p>
      <w:r>
        <w:t xml:space="preserve"/>
      </w:r>
    </w:p>
    <w:p>
      <w:r>
        <w:t xml:space="preserve">- Do not apply within 10 m of surface water bodies.</w:t>
      </w:r>
    </w:p>
    <w:p>
      <w:r>
        <w:t xml:space="preserve"/>
      </w:r>
    </w:p>
    <w:p>
      <w:r>
        <w:t xml:space="preserve">- Use closed-cab application equipment.</w:t>
      </w:r>
    </w:p>
    <w:p>
      <w:r>
        <w:t xml:space="preserve"/>
      </w:r>
    </w:p>
    <w:p>
      <w:r>
        <w:t xml:space="preserve">- Maximum two applications per growing season.</w:t>
      </w:r>
    </w:p>
    <w:p>
      <w:r>
        <w:t xml:space="preserve"/>
      </w:r>
    </w:p>
    <w:p>
      <w:r>
        <w:t xml:space="preserve">- Field re-entry only after spray deposit has dried.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>Environmental Notes</w:t>
      </w:r>
    </w:p>
    <w:p>
      <w:r>
        <w:t xml:space="preserve"/>
      </w:r>
    </w:p>
    <w:p>
      <w:r>
        <w:t xml:space="preserve">- Persistent in soil under cool, dry conditions; field DT50 = 92 days.</w:t>
      </w:r>
    </w:p>
    <w:p>
      <w:r>
        <w:t xml:space="preserve"/>
      </w:r>
    </w:p>
    <w:p>
      <w:r>
        <w:t xml:space="preserve">- Low risk of leaching to groundwater under typical European conditions.</w:t>
      </w:r>
    </w:p>
    <w:p>
      <w:r>
        <w:t xml:space="preserve"/>
      </w:r>
    </w:p>
    <w:p>
      <w:r>
        <w:t xml:space="preserve">- Moderate risk to non-target arthropods at edge-of-field.</w:t>
      </w:r>
    </w:p>
    <w:p>
      <w:r>
        <w:t xml:space="preserve"/>
      </w:r>
    </w:p>
    <w:p>
      <w:pPr>
        <w:pStyle w:val="Heading2"/>
      </w:pPr>
      <w:r>
        <w:t>References</w:t>
      </w:r>
    </w:p>
    <w:p>
      <w:r>
        <w:t xml:space="preserve"/>
      </w:r>
    </w:p>
    <w:p>
      <w:r>
        <w:t xml:space="preserve"/>
      </w:r>
    </w:p>
    <w:p>
      <w:r>
        <w:t xml:space="preserve">- EFSA Journal (fictional): FIC-2026-12345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ectPr>
          <w:headerReference w:type="default" r:id="rId9"/>
          <w:footerReference w:type="default" r:id="rId10"/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val="160"/>
        </w:trPr>
        <w:tc>
          <w:tcPr>
            <w:tcW w:type="dxa" w:w="10080"/>
            <w:shd w:fill="F07D00"/>
            <w:tcBorders>
              <w:top w:val="single" w:sz="6" w:space="0" w:color="F07D00"/>
              <w:left w:val="single" w:sz="6" w:space="0" w:color="F07D00"/>
              <w:bottom w:val="single" w:sz="6" w:space="0" w:color="F07D00"/>
              <w:right w:val="single" w:sz="6" w:space="0" w:color="F07D00"/>
              <w:insideH w:val="single" w:sz="6" w:space="0" w:color="F07D00"/>
              <w:insideV w:val="single" w:sz="6" w:space="0" w:color="F07D00"/>
            </w:tcBorders>
          </w:tcPr>
          <w:p>
            <w:r/>
          </w:p>
        </w:tc>
      </w:tr>
    </w:tbl>
    <w:p>
      <w:pPr>
        <w:pStyle w:val="Heading1"/>
      </w:pPr>
      <w:r>
        <w:t xml:space="preserve">Verdura 75 WG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736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FF2E6"/>
          </w:tcPr>
          <w:p>
            <w:pPr>
              <w:spacing w:after="40"/>
            </w:pPr>
            <w:r>
              <w:rPr>
                <w:rFonts w:ascii="Arial" w:hAnsi="Arial"/>
                <w:b/>
                <w:color w:val="1D3A5E"/>
                <w:sz w:val="18"/>
              </w:rPr>
              <w:t>Product ID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5F5F5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FCSA-PROD-VR075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FF2E6"/>
          </w:tcPr>
          <w:p>
            <w:pPr>
              <w:spacing w:after="40"/>
            </w:pPr>
            <w:r>
              <w:rPr>
                <w:rFonts w:ascii="Arial" w:hAnsi="Arial"/>
                <w:b/>
                <w:color w:val="1D3A5E"/>
                <w:sz w:val="18"/>
              </w:rPr>
              <w:t>Active substance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5F5F5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Lumicarb-methyl (750 g/kg)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FF2E6"/>
          </w:tcPr>
          <w:p>
            <w:pPr>
              <w:spacing w:after="40"/>
            </w:pPr>
            <w:r>
              <w:rPr>
                <w:rFonts w:ascii="Arial" w:hAnsi="Arial"/>
                <w:b/>
                <w:color w:val="1D3A5E"/>
                <w:sz w:val="18"/>
              </w:rPr>
              <w:t>Formulation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5F5F5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WG - Water-dispersible granules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FF2E6"/>
          </w:tcPr>
          <w:p>
            <w:pPr>
              <w:spacing w:after="40"/>
            </w:pPr>
            <w:r>
              <w:rPr>
                <w:rFonts w:ascii="Arial" w:hAnsi="Arial"/>
                <w:b/>
                <w:color w:val="1D3A5E"/>
                <w:sz w:val="18"/>
              </w:rPr>
              <w:t>Manufacturer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5F5F5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Demo CropChem GmbH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FF2E6"/>
          </w:tcPr>
          <w:p>
            <w:pPr>
              <w:spacing w:after="40"/>
            </w:pPr>
            <w:r>
              <w:rPr>
                <w:rFonts w:ascii="Arial" w:hAnsi="Arial"/>
                <w:b/>
                <w:color w:val="1D3A5E"/>
                <w:sz w:val="18"/>
              </w:rPr>
              <w:t>Approval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5F5F5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Country: FR. Status: approved. Valid from 2024-06-01 to 2029-05-31.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FF2E6"/>
          </w:tcPr>
          <w:p>
            <w:pPr>
              <w:spacing w:after="40"/>
            </w:pPr>
            <w:r>
              <w:rPr>
                <w:rFonts w:ascii="Arial" w:hAnsi="Arial"/>
                <w:b/>
                <w:color w:val="1D3A5E"/>
                <w:sz w:val="18"/>
              </w:rPr>
              <w:t>Risk score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5F5F5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42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FF2E6"/>
          </w:tcPr>
          <w:p>
            <w:pPr>
              <w:spacing w:after="40"/>
            </w:pPr>
            <w:r>
              <w:rPr>
                <w:rFonts w:ascii="Arial" w:hAnsi="Arial"/>
                <w:b/>
                <w:color w:val="1D3A5E"/>
                <w:sz w:val="18"/>
              </w:rPr>
              <w:t>Applications assessed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5F5F5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2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FF2E6"/>
          </w:tcPr>
          <w:p>
            <w:pPr>
              <w:spacing w:after="40"/>
            </w:pPr>
            <w:r>
              <w:rPr>
                <w:rFonts w:ascii="Arial" w:hAnsi="Arial"/>
                <w:b/>
                <w:color w:val="1D3A5E"/>
                <w:sz w:val="18"/>
              </w:rPr>
              <w:t>Average efficacy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  <w:shd w:fill="F5F5F5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89.0%</w:t>
            </w:r>
          </w:p>
        </w:tc>
      </w:tr>
    </w:tbl>
    <w:p>
      <w:r>
        <w:t xml:space="preserve"/>
      </w:r>
    </w:p>
    <w:p>
      <w:pPr>
        <w:pStyle w:val="Heading2"/>
      </w:pPr>
      <w:r>
        <w:t>Applications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shd w:fill="1D3A5E"/>
            <w:tcBorders>
              <w:top w:val="single" w:sz="6" w:space="0" w:color="1D3A5E"/>
              <w:left w:val="single" w:sz="6" w:space="0" w:color="1D3A5E"/>
              <w:bottom w:val="single" w:sz="6" w:space="0" w:color="1D3A5E"/>
              <w:right w:val="single" w:sz="6" w:space="0" w:color="1D3A5E"/>
              <w:insideH w:val="single" w:sz="6" w:space="0" w:color="1D3A5E"/>
              <w:insideV w:val="single" w:sz="6" w:space="0" w:color="1D3A5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Crop</w:t>
            </w:r>
          </w:p>
        </w:tc>
        <w:tc>
          <w:tcPr>
            <w:tcW w:type="dxa" w:w="1440"/>
            <w:vAlign w:val="center"/>
            <w:shd w:fill="1D3A5E"/>
            <w:tcBorders>
              <w:top w:val="single" w:sz="6" w:space="0" w:color="1D3A5E"/>
              <w:left w:val="single" w:sz="6" w:space="0" w:color="1D3A5E"/>
              <w:bottom w:val="single" w:sz="6" w:space="0" w:color="1D3A5E"/>
              <w:right w:val="single" w:sz="6" w:space="0" w:color="1D3A5E"/>
              <w:insideH w:val="single" w:sz="6" w:space="0" w:color="1D3A5E"/>
              <w:insideV w:val="single" w:sz="6" w:space="0" w:color="1D3A5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Target pest</w:t>
            </w:r>
          </w:p>
        </w:tc>
        <w:tc>
          <w:tcPr>
            <w:tcW w:type="dxa" w:w="1440"/>
            <w:vAlign w:val="center"/>
            <w:shd w:fill="1D3A5E"/>
            <w:tcBorders>
              <w:top w:val="single" w:sz="6" w:space="0" w:color="1D3A5E"/>
              <w:left w:val="single" w:sz="6" w:space="0" w:color="1D3A5E"/>
              <w:bottom w:val="single" w:sz="6" w:space="0" w:color="1D3A5E"/>
              <w:right w:val="single" w:sz="6" w:space="0" w:color="1D3A5E"/>
              <w:insideH w:val="single" w:sz="6" w:space="0" w:color="1D3A5E"/>
              <w:insideV w:val="single" w:sz="6" w:space="0" w:color="1D3A5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BBCH</w:t>
            </w:r>
          </w:p>
        </w:tc>
        <w:tc>
          <w:tcPr>
            <w:tcW w:type="dxa" w:w="1440"/>
            <w:vAlign w:val="center"/>
            <w:shd w:fill="1D3A5E"/>
            <w:tcBorders>
              <w:top w:val="single" w:sz="6" w:space="0" w:color="1D3A5E"/>
              <w:left w:val="single" w:sz="6" w:space="0" w:color="1D3A5E"/>
              <w:bottom w:val="single" w:sz="6" w:space="0" w:color="1D3A5E"/>
              <w:right w:val="single" w:sz="6" w:space="0" w:color="1D3A5E"/>
              <w:insideH w:val="single" w:sz="6" w:space="0" w:color="1D3A5E"/>
              <w:insideV w:val="single" w:sz="6" w:space="0" w:color="1D3A5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Dose</w:t>
            </w:r>
          </w:p>
        </w:tc>
        <w:tc>
          <w:tcPr>
            <w:tcW w:type="dxa" w:w="1440"/>
            <w:vAlign w:val="center"/>
            <w:shd w:fill="1D3A5E"/>
            <w:tcBorders>
              <w:top w:val="single" w:sz="6" w:space="0" w:color="1D3A5E"/>
              <w:left w:val="single" w:sz="6" w:space="0" w:color="1D3A5E"/>
              <w:bottom w:val="single" w:sz="6" w:space="0" w:color="1D3A5E"/>
              <w:right w:val="single" w:sz="6" w:space="0" w:color="1D3A5E"/>
              <w:insideH w:val="single" w:sz="6" w:space="0" w:color="1D3A5E"/>
              <w:insideV w:val="single" w:sz="6" w:space="0" w:color="1D3A5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Max apps</w:t>
            </w:r>
          </w:p>
        </w:tc>
        <w:tc>
          <w:tcPr>
            <w:tcW w:type="dxa" w:w="1440"/>
            <w:vAlign w:val="center"/>
            <w:shd w:fill="1D3A5E"/>
            <w:tcBorders>
              <w:top w:val="single" w:sz="6" w:space="0" w:color="1D3A5E"/>
              <w:left w:val="single" w:sz="6" w:space="0" w:color="1D3A5E"/>
              <w:bottom w:val="single" w:sz="6" w:space="0" w:color="1D3A5E"/>
              <w:right w:val="single" w:sz="6" w:space="0" w:color="1D3A5E"/>
              <w:insideH w:val="single" w:sz="6" w:space="0" w:color="1D3A5E"/>
              <w:insideV w:val="single" w:sz="6" w:space="0" w:color="1D3A5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Efficacy</w:t>
            </w:r>
          </w:p>
        </w:tc>
        <w:tc>
          <w:tcPr>
            <w:tcW w:type="dxa" w:w="1440"/>
            <w:vAlign w:val="center"/>
            <w:shd w:fill="1D3A5E"/>
            <w:tcBorders>
              <w:top w:val="single" w:sz="6" w:space="0" w:color="1D3A5E"/>
              <w:left w:val="single" w:sz="6" w:space="0" w:color="1D3A5E"/>
              <w:bottom w:val="single" w:sz="6" w:space="0" w:color="1D3A5E"/>
              <w:right w:val="single" w:sz="6" w:space="0" w:color="1D3A5E"/>
              <w:insideH w:val="single" w:sz="6" w:space="0" w:color="1D3A5E"/>
              <w:insideV w:val="single" w:sz="6" w:space="0" w:color="1D3A5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PHI days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Tomato (greenhouse)</w:t>
            </w:r>
          </w:p>
        </w:tc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Botrytis cinerea</w:t>
            </w:r>
          </w:p>
        </w:tc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61-89</w:t>
            </w:r>
          </w:p>
        </w:tc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0.6 kg/ha</w:t>
            </w:r>
          </w:p>
        </w:tc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3</w:t>
            </w:r>
          </w:p>
        </w:tc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91%</w:t>
            </w:r>
          </w:p>
        </w:tc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7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Grapevine</w:t>
            </w:r>
          </w:p>
        </w:tc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Erysiphe necator (powdery mildew)</w:t>
            </w:r>
          </w:p>
        </w:tc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53-81</w:t>
            </w:r>
          </w:p>
        </w:tc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0.4 kg/ha</w:t>
            </w:r>
          </w:p>
        </w:tc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4</w:t>
            </w:r>
          </w:p>
        </w:tc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87%</w:t>
            </w:r>
          </w:p>
        </w:tc>
        <w:tc>
          <w:tcPr>
            <w:tcW w:type="dxa" w:w="14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21</w:t>
            </w:r>
          </w:p>
        </w:tc>
      </w:tr>
    </w:tbl>
    <w:p>
      <w:pPr>
        <w:pStyle w:val="Heading2"/>
      </w:pPr>
      <w:r>
        <w:t>Risk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07D00"/>
            <w:tcBorders>
              <w:top w:val="single" w:sz="6" w:space="0" w:color="F07D00"/>
              <w:left w:val="single" w:sz="6" w:space="0" w:color="F07D00"/>
              <w:bottom w:val="single" w:sz="6" w:space="0" w:color="F07D00"/>
              <w:right w:val="single" w:sz="6" w:space="0" w:color="F07D00"/>
              <w:insideH w:val="single" w:sz="6" w:space="0" w:color="F07D00"/>
              <w:insideV w:val="single" w:sz="6" w:space="0" w:color="F07D00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040"/>
            <w:vAlign w:val="center"/>
            <w:shd w:fill="F07D00"/>
            <w:tcBorders>
              <w:top w:val="single" w:sz="6" w:space="0" w:color="F07D00"/>
              <w:left w:val="single" w:sz="6" w:space="0" w:color="F07D00"/>
              <w:bottom w:val="single" w:sz="6" w:space="0" w:color="F07D00"/>
              <w:right w:val="single" w:sz="6" w:space="0" w:color="F07D00"/>
              <w:insideH w:val="single" w:sz="6" w:space="0" w:color="F07D00"/>
              <w:insideV w:val="single" w:sz="6" w:space="0" w:color="F07D00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Human Health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38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Ecotoxicology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51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Environmental Fate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36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Residue In Food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44</w:t>
            </w:r>
          </w:p>
        </w:tc>
      </w:tr>
    </w:tbl>
    <w:p>
      <w:pPr>
        <w:pStyle w:val="Heading2"/>
      </w:pPr>
      <w:r>
        <w:t>Toxicity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07D00"/>
            <w:tcBorders>
              <w:top w:val="single" w:sz="6" w:space="0" w:color="F07D00"/>
              <w:left w:val="single" w:sz="6" w:space="0" w:color="F07D00"/>
              <w:bottom w:val="single" w:sz="6" w:space="0" w:color="F07D00"/>
              <w:right w:val="single" w:sz="6" w:space="0" w:color="F07D00"/>
              <w:insideH w:val="single" w:sz="6" w:space="0" w:color="F07D00"/>
              <w:insideV w:val="single" w:sz="6" w:space="0" w:color="F07D00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Indicator</w:t>
            </w:r>
          </w:p>
        </w:tc>
        <w:tc>
          <w:tcPr>
            <w:tcW w:type="dxa" w:w="5040"/>
            <w:vAlign w:val="center"/>
            <w:shd w:fill="F07D00"/>
            <w:tcBorders>
              <w:top w:val="single" w:sz="6" w:space="0" w:color="F07D00"/>
              <w:left w:val="single" w:sz="6" w:space="0" w:color="F07D00"/>
              <w:bottom w:val="single" w:sz="6" w:space="0" w:color="F07D00"/>
              <w:right w:val="single" w:sz="6" w:space="0" w:color="F07D00"/>
              <w:insideH w:val="single" w:sz="6" w:space="0" w:color="F07D00"/>
              <w:insideV w:val="single" w:sz="6" w:space="0" w:color="F07D00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Ld50 Oral Rat Mg Per Kg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3200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Ld50 Dermal Rat Mg Per Kg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5000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Fish Lc50 96H Mg Per L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4.6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Bee Ld50 Oral Microg Per Bee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89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Earthworm Lc50 14D Mg Per Kg</w:t>
            </w:r>
          </w:p>
        </w:tc>
        <w:tc>
          <w:tcPr>
            <w:tcW w:type="dxa" w:w="5040"/>
            <w:vAlign w:val="center"/>
            <w:tcBorders>
              <w:top w:val="single" w:sz="6" w:space="0" w:color="D9DEE7"/>
              <w:left w:val="single" w:sz="6" w:space="0" w:color="D9DEE7"/>
              <w:bottom w:val="single" w:sz="6" w:space="0" w:color="D9DEE7"/>
              <w:right w:val="single" w:sz="6" w:space="0" w:color="D9DEE7"/>
              <w:insideH w:val="single" w:sz="6" w:space="0" w:color="D9DEE7"/>
              <w:insideV w:val="single" w:sz="6" w:space="0" w:color="D9DEE7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D3A5E"/>
                <w:sz w:val="18"/>
              </w:rPr>
              <w:t xml:space="preserve">480</w:t>
            </w:r>
          </w:p>
        </w:tc>
      </w:tr>
    </w:tbl>
    <w:p>
      <w:pPr>
        <w:pStyle w:val="Heading2"/>
      </w:pPr>
      <w:r>
        <w:t>Efficacy Chart</w:t>
      </w:r>
    </w:p>
    <w:p>
      <w:pPr>
        <w:jc w:val="center"/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220000" cy="1817606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sa-prod-vr075-effica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1760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>Environmental Notes</w:t>
      </w:r>
    </w:p>
    <w:p>
      <w:r>
        <w:t xml:space="preserve"/>
      </w:r>
    </w:p>
    <w:p>
      <w:r>
        <w:t xml:space="preserve">- Rapid degradation in soil; field DT50 = 8 days.</w:t>
      </w:r>
    </w:p>
    <w:p>
      <w:r>
        <w:t xml:space="preserve"/>
      </w:r>
    </w:p>
    <w:p>
      <w:r>
        <w:t xml:space="preserve">- Low bioaccumulation potential.</w:t>
      </w:r>
    </w:p>
    <w:p>
      <w:r>
        <w:t xml:space="preserve"/>
      </w:r>
    </w:p>
    <w:p>
      <w:r>
        <w:t xml:space="preserve">- Acceptable risk to bees under good agricultural practice.</w:t>
      </w:r>
    </w:p>
    <w:p>
      <w:r>
        <w:t xml:space="preserve"/>
      </w:r>
    </w:p>
    <w:p>
      <w:pPr>
        <w:pStyle w:val="Heading2"/>
      </w:pPr>
      <w:r>
        <w:t>References</w:t>
      </w:r>
    </w:p>
    <w:p>
      <w:r>
        <w:t xml:space="preserve"/>
      </w:r>
    </w:p>
    <w:p>
      <w:r>
        <w:t xml:space="preserve"/>
      </w:r>
    </w:p>
    <w:p>
      <w:r>
        <w:t xml:space="preserve">- EU Pesticides Database (fictional): FIC-EUPD-2024-00911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F07D00"/>
        <w:sz w:val="14"/>
      </w:rPr>
      <w:t xml:space="preserve">INTERNAL</w:t>
    </w:r>
    <w:r>
      <w:rPr>
        <w:rFonts w:ascii="Arial" w:hAnsi="Arial"/>
        <w:b w:val="0"/>
        <w:color w:val="1D3A5E"/>
        <w:sz w:val="14"/>
      </w:rPr>
      <w:t xml:space="preserve"> | Page </w:t>
    </w:r>
    <w:r>
      <w:fldChar w:fldCharType="begin"/>
      <w:instrText xml:space="preserve">PAGE</w:instrText>
      <w:fldChar w:fldCharType="separate"/>
      <w:fldChar w:fldCharType="end"/>
    </w:r>
    <w:r>
      <w:rPr>
        <w:rFonts w:ascii="Arial" w:hAnsi="Arial"/>
        <w:b w:val="0"/>
        <w:color w:val="1D3A5E"/>
        <w:sz w:val="14"/>
      </w:rPr>
      <w:t xml:space="preserve"> of </w:t>
    </w:r>
    <w:r>
      <w:fldChar w:fldCharType="begin"/>
      <w:instrText xml:space="preserve">NUMPAGES</w:instrText>
      <w:fldChar w:fldCharType="separate"/>
      <w:fldChar w:fldCharType="end"/>
    </w:r>
    <w:r>
      <w:rPr>
        <w:rFonts w:ascii="Arial" w:hAnsi="Arial"/>
        <w:b w:val="0"/>
        <w:color w:val="1D3A5E"/>
        <w:sz w:val="14"/>
      </w:rPr>
      <w:t xml:space="preserve"> | Fictional dataset for recruiting use only. Not a real regulatory record.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F07D00"/>
      </w:pBdr>
    </w:pPr>
    <w:r>
      <w:rPr>
        <w:rFonts w:ascii="Arial" w:hAnsi="Arial"/>
        <w:b/>
        <w:color w:val="1D3A5E"/>
        <w:sz w:val="16"/>
      </w:rPr>
      <w:t xml:space="preserve">Fictional Crop Science Authority (FCSA)</w:t>
    </w:r>
    <w:r>
      <w:rPr>
        <w:rFonts w:ascii="Arial" w:hAnsi="Arial"/>
        <w:b w:val="0"/>
        <w:color w:val="F07D00"/>
        <w:sz w:val="16"/>
      </w:rPr>
      <w:t xml:space="preserve"> | FCSA-PPR-2026-0042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D3A5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F07D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D3A5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